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4DE0C" w14:textId="77777777" w:rsidR="00A718DD" w:rsidRPr="00815816" w:rsidRDefault="00815816" w:rsidP="00A718DD">
      <w:pPr>
        <w:jc w:val="center"/>
        <w:rPr>
          <w:rFonts w:ascii="Times New Roman" w:hAnsi="Times New Roman" w:cs="Times New Roman"/>
          <w:smallCaps/>
          <w:sz w:val="32"/>
        </w:rPr>
      </w:pPr>
      <w:r w:rsidRPr="00815816">
        <w:rPr>
          <w:rFonts w:ascii="Times New Roman" w:hAnsi="Times New Roman" w:cs="Times New Roman"/>
          <w:smallCaps/>
          <w:sz w:val="32"/>
        </w:rPr>
        <w:t>Frontier and Province in the Premodern World</w:t>
      </w:r>
    </w:p>
    <w:p w14:paraId="70573FC2" w14:textId="77777777" w:rsidR="00815816" w:rsidRPr="00815816" w:rsidRDefault="00815816" w:rsidP="00A718DD">
      <w:pPr>
        <w:jc w:val="center"/>
        <w:rPr>
          <w:rFonts w:ascii="Times New Roman" w:hAnsi="Times New Roman" w:cs="Times New Roman"/>
          <w:smallCaps/>
          <w:sz w:val="32"/>
        </w:rPr>
      </w:pPr>
      <w:r w:rsidRPr="00815816">
        <w:rPr>
          <w:rFonts w:ascii="Times New Roman" w:hAnsi="Times New Roman" w:cs="Times New Roman"/>
          <w:smallCaps/>
          <w:sz w:val="28"/>
        </w:rPr>
        <w:t>Ancient Societies Workshop and YISAP Seminar</w:t>
      </w:r>
    </w:p>
    <w:p w14:paraId="5E35E7AA" w14:textId="77777777" w:rsidR="00815816" w:rsidRDefault="00815816" w:rsidP="00A718DD">
      <w:pPr>
        <w:jc w:val="center"/>
        <w:rPr>
          <w:rFonts w:ascii="Times New Roman" w:hAnsi="Times New Roman" w:cs="Times New Roman"/>
        </w:rPr>
      </w:pPr>
    </w:p>
    <w:p w14:paraId="4D5C506C" w14:textId="698619D2" w:rsidR="00D21FDE" w:rsidRPr="00D21FDE" w:rsidRDefault="00D21FDE" w:rsidP="00A718DD">
      <w:pPr>
        <w:jc w:val="center"/>
        <w:rPr>
          <w:rFonts w:ascii="Times New Roman" w:hAnsi="Times New Roman" w:cs="Times New Roman"/>
          <w:smallCaps/>
        </w:rPr>
      </w:pPr>
      <w:r w:rsidRPr="00D21FDE">
        <w:rPr>
          <w:rFonts w:ascii="Times New Roman" w:hAnsi="Times New Roman" w:cs="Times New Roman"/>
          <w:smallCaps/>
        </w:rPr>
        <w:t>Andrew C. Johnston and William Honeychurch</w:t>
      </w:r>
    </w:p>
    <w:p w14:paraId="55055E11" w14:textId="77777777" w:rsidR="00815816" w:rsidRPr="00815816" w:rsidRDefault="00815816" w:rsidP="00A718DD">
      <w:pPr>
        <w:jc w:val="center"/>
        <w:rPr>
          <w:rFonts w:ascii="Times New Roman" w:hAnsi="Times New Roman" w:cs="Times New Roman"/>
          <w:smallCaps/>
        </w:rPr>
      </w:pPr>
      <w:r w:rsidRPr="00815816">
        <w:rPr>
          <w:rFonts w:ascii="Times New Roman" w:hAnsi="Times New Roman" w:cs="Times New Roman"/>
          <w:smallCaps/>
        </w:rPr>
        <w:t>funded by a Whitney Humanity/Humanities Grant</w:t>
      </w:r>
    </w:p>
    <w:p w14:paraId="49F68EF0" w14:textId="77777777" w:rsidR="00A718DD" w:rsidRDefault="00A718DD" w:rsidP="00711AC8">
      <w:pPr>
        <w:rPr>
          <w:rFonts w:ascii="Times New Roman" w:hAnsi="Times New Roman" w:cs="Times New Roman"/>
        </w:rPr>
      </w:pPr>
    </w:p>
    <w:p w14:paraId="12D66216" w14:textId="220589C9" w:rsidR="00A718DD" w:rsidRPr="00815816" w:rsidRDefault="00815816" w:rsidP="00711AC8">
      <w:pPr>
        <w:rPr>
          <w:rFonts w:ascii="Times New Roman" w:hAnsi="Times New Roman" w:cs="Times New Roman"/>
          <w:smallCaps/>
        </w:rPr>
      </w:pPr>
      <w:r w:rsidRPr="00715618">
        <w:rPr>
          <w:rFonts w:ascii="Times New Roman" w:hAnsi="Times New Roman" w:cs="Times New Roman"/>
          <w:smallCaps/>
          <w:sz w:val="28"/>
        </w:rPr>
        <w:t>Goals, Activities, and Outcomes</w:t>
      </w:r>
      <w:r w:rsidR="00691765">
        <w:rPr>
          <w:rFonts w:ascii="Times New Roman" w:hAnsi="Times New Roman" w:cs="Times New Roman"/>
          <w:smallCaps/>
        </w:rPr>
        <w:t>:</w:t>
      </w:r>
    </w:p>
    <w:p w14:paraId="457D91C0" w14:textId="77777777" w:rsidR="00815816" w:rsidRDefault="00815816" w:rsidP="00711AC8">
      <w:pPr>
        <w:rPr>
          <w:rFonts w:ascii="Times New Roman" w:hAnsi="Times New Roman" w:cs="Times New Roman"/>
        </w:rPr>
      </w:pPr>
    </w:p>
    <w:p w14:paraId="107F0149" w14:textId="46B2AC6B" w:rsidR="00B50A1B" w:rsidRPr="00B900D3" w:rsidRDefault="00B50A1B" w:rsidP="00B900D3">
      <w:pPr>
        <w:ind w:firstLine="720"/>
        <w:rPr>
          <w:rFonts w:ascii="Times New Roman" w:hAnsi="Times New Roman" w:cs="Times New Roman"/>
        </w:rPr>
      </w:pPr>
      <w:r w:rsidRPr="00B900D3">
        <w:rPr>
          <w:rFonts w:ascii="Times New Roman" w:hAnsi="Times New Roman" w:cs="Times New Roman"/>
        </w:rPr>
        <w:t>The aim of this past year’s workshop and seminar was to examine the</w:t>
      </w:r>
      <w:r w:rsidRPr="00B900D3">
        <w:rPr>
          <w:rFonts w:ascii="Times New Roman" w:hAnsi="Times New Roman" w:cs="Times New Roman"/>
        </w:rPr>
        <w:t xml:space="preserve"> provincial </w:t>
      </w:r>
      <w:r w:rsidRPr="00B900D3">
        <w:rPr>
          <w:rFonts w:ascii="Times New Roman" w:hAnsi="Times New Roman" w:cs="Times New Roman"/>
        </w:rPr>
        <w:t xml:space="preserve">and frontier </w:t>
      </w:r>
      <w:r w:rsidRPr="00B900D3">
        <w:rPr>
          <w:rFonts w:ascii="Times New Roman" w:hAnsi="Times New Roman" w:cs="Times New Roman"/>
        </w:rPr>
        <w:t>experience</w:t>
      </w:r>
      <w:r w:rsidRPr="00B900D3">
        <w:rPr>
          <w:rFonts w:ascii="Times New Roman" w:hAnsi="Times New Roman" w:cs="Times New Roman"/>
        </w:rPr>
        <w:t xml:space="preserve"> in the premodern world</w:t>
      </w:r>
      <w:r w:rsidRPr="00B900D3">
        <w:rPr>
          <w:rFonts w:ascii="Times New Roman" w:hAnsi="Times New Roman" w:cs="Times New Roman"/>
        </w:rPr>
        <w:t xml:space="preserve"> – a continual tension between marginality and incorporation, domination and participation, centripetal and centrifugal forces – </w:t>
      </w:r>
      <w:r w:rsidRPr="00B900D3">
        <w:rPr>
          <w:rFonts w:ascii="Times New Roman" w:hAnsi="Times New Roman" w:cs="Times New Roman"/>
        </w:rPr>
        <w:t>as</w:t>
      </w:r>
      <w:r w:rsidRPr="00B900D3">
        <w:rPr>
          <w:rFonts w:ascii="Times New Roman" w:hAnsi="Times New Roman" w:cs="Times New Roman"/>
        </w:rPr>
        <w:t xml:space="preserve"> a particularly productive avenue of historical inquiry through which to think about important questions of space, time, change, identity, exchange, </w:t>
      </w:r>
      <w:r w:rsidR="001F1616">
        <w:rPr>
          <w:rFonts w:ascii="Times New Roman" w:hAnsi="Times New Roman" w:cs="Times New Roman"/>
        </w:rPr>
        <w:t>and power;</w:t>
      </w:r>
      <w:r w:rsidRPr="00B900D3">
        <w:rPr>
          <w:rFonts w:ascii="Times New Roman" w:hAnsi="Times New Roman" w:cs="Times New Roman"/>
        </w:rPr>
        <w:t xml:space="preserve"> </w:t>
      </w:r>
      <w:r w:rsidRPr="00B900D3">
        <w:rPr>
          <w:rFonts w:ascii="Times New Roman" w:hAnsi="Times New Roman" w:cs="Times New Roman"/>
        </w:rPr>
        <w:t xml:space="preserve">fertile ground for comparative research on the historical and cultural sources of contemporary developments.  </w:t>
      </w:r>
      <w:r w:rsidRPr="00B900D3">
        <w:rPr>
          <w:rFonts w:ascii="Times New Roman" w:hAnsi="Times New Roman" w:cs="Times New Roman"/>
        </w:rPr>
        <w:t xml:space="preserve">We hoped </w:t>
      </w:r>
      <w:r w:rsidRPr="00B900D3">
        <w:rPr>
          <w:rFonts w:ascii="Times New Roman" w:hAnsi="Times New Roman" w:cs="Times New Roman"/>
        </w:rPr>
        <w:t xml:space="preserve">to explore social equilibria between governance and the governed in the pre-modern world, via the interaction – religious, artistic, linguistic, administrative, economic – between local units and large imperial frameworks. </w:t>
      </w:r>
      <w:r w:rsidRPr="00B900D3">
        <w:rPr>
          <w:rFonts w:ascii="Times New Roman" w:hAnsi="Times New Roman" w:cs="Times New Roman"/>
        </w:rPr>
        <w:t xml:space="preserve"> </w:t>
      </w:r>
      <w:r w:rsidRPr="00B900D3">
        <w:rPr>
          <w:rFonts w:ascii="Times New Roman" w:hAnsi="Times New Roman" w:cs="Times New Roman"/>
        </w:rPr>
        <w:t>As an object of comparative study, the province, representing the intersection of imperial pow</w:t>
      </w:r>
      <w:r w:rsidRPr="00B900D3">
        <w:rPr>
          <w:rFonts w:ascii="Times New Roman" w:hAnsi="Times New Roman" w:cs="Times New Roman"/>
        </w:rPr>
        <w:t>er and local communities, allowed</w:t>
      </w:r>
      <w:r w:rsidRPr="00B900D3">
        <w:rPr>
          <w:rFonts w:ascii="Times New Roman" w:hAnsi="Times New Roman" w:cs="Times New Roman"/>
        </w:rPr>
        <w:t xml:space="preserve"> us to combine ‘top-down’ and ‘bottom-up’ approaches to the ancient world, to investigate some of the key practices and discourses of empire while attempting to recover the agency and voices of subaltern provincial actors. </w:t>
      </w:r>
      <w:r w:rsidRPr="00B900D3">
        <w:rPr>
          <w:rFonts w:ascii="Times New Roman" w:hAnsi="Times New Roman" w:cs="Times New Roman"/>
        </w:rPr>
        <w:t xml:space="preserve"> Frontiers offered</w:t>
      </w:r>
      <w:r w:rsidRPr="00B900D3">
        <w:rPr>
          <w:rFonts w:ascii="Times New Roman" w:hAnsi="Times New Roman" w:cs="Times New Roman"/>
        </w:rPr>
        <w:t xml:space="preserve"> a chance to reconsider the “center-periphery” paradigm </w:t>
      </w:r>
      <w:r w:rsidR="00620721">
        <w:rPr>
          <w:rFonts w:ascii="Times New Roman" w:hAnsi="Times New Roman" w:cs="Times New Roman"/>
        </w:rPr>
        <w:t>taken over from world systems t</w:t>
      </w:r>
      <w:r w:rsidRPr="00B900D3">
        <w:rPr>
          <w:rFonts w:ascii="Times New Roman" w:hAnsi="Times New Roman" w:cs="Times New Roman"/>
        </w:rPr>
        <w:t>heory, and to propose new models for understanding the complex rel</w:t>
      </w:r>
      <w:r w:rsidR="00620721">
        <w:rPr>
          <w:rFonts w:ascii="Times New Roman" w:hAnsi="Times New Roman" w:cs="Times New Roman"/>
        </w:rPr>
        <w:t>ationships between an imperial ‘</w:t>
      </w:r>
      <w:r w:rsidRPr="00B900D3">
        <w:rPr>
          <w:rFonts w:ascii="Times New Roman" w:hAnsi="Times New Roman" w:cs="Times New Roman"/>
        </w:rPr>
        <w:t>center</w:t>
      </w:r>
      <w:r w:rsidR="00620721">
        <w:rPr>
          <w:rFonts w:ascii="Times New Roman" w:hAnsi="Times New Roman" w:cs="Times New Roman"/>
        </w:rPr>
        <w:t>’</w:t>
      </w:r>
      <w:r w:rsidRPr="00B900D3">
        <w:rPr>
          <w:rFonts w:ascii="Times New Roman" w:hAnsi="Times New Roman" w:cs="Times New Roman"/>
        </w:rPr>
        <w:t xml:space="preserve"> and the governance of territories</w:t>
      </w:r>
      <w:r w:rsidRPr="00B900D3">
        <w:rPr>
          <w:rFonts w:ascii="Times New Roman" w:hAnsi="Times New Roman" w:cs="Times New Roman"/>
        </w:rPr>
        <w:t>, or ‘cross-cutting’ relationships with other states and polities</w:t>
      </w:r>
      <w:r w:rsidRPr="00B900D3">
        <w:rPr>
          <w:rFonts w:ascii="Times New Roman" w:hAnsi="Times New Roman" w:cs="Times New Roman"/>
        </w:rPr>
        <w:t xml:space="preserve">.  </w:t>
      </w:r>
    </w:p>
    <w:p w14:paraId="7D4D4F95" w14:textId="1C80ADAA" w:rsidR="00815816" w:rsidRDefault="00B50A1B" w:rsidP="00B900D3">
      <w:pPr>
        <w:ind w:firstLine="720"/>
        <w:rPr>
          <w:rFonts w:ascii="Times New Roman" w:hAnsi="Times New Roman" w:cs="Times New Roman"/>
        </w:rPr>
      </w:pPr>
      <w:r>
        <w:rPr>
          <w:rFonts w:ascii="Times New Roman" w:hAnsi="Times New Roman" w:cs="Times New Roman"/>
        </w:rPr>
        <w:t>T</w:t>
      </w:r>
      <w:r w:rsidR="00B900D3">
        <w:rPr>
          <w:rFonts w:ascii="Times New Roman" w:hAnsi="Times New Roman" w:cs="Times New Roman"/>
        </w:rPr>
        <w:t xml:space="preserve">o these ends, one of our goals was, with the aid of the Whitney Humanity/Humanities grant, </w:t>
      </w:r>
      <w:r w:rsidR="00B900D3">
        <w:rPr>
          <w:rFonts w:ascii="Times New Roman" w:hAnsi="Times New Roman" w:cs="Times New Roman"/>
          <w:szCs w:val="22"/>
        </w:rPr>
        <w:t>to organize</w:t>
      </w:r>
      <w:r w:rsidR="00B900D3">
        <w:rPr>
          <w:rFonts w:ascii="Times New Roman" w:hAnsi="Times New Roman" w:cs="Times New Roman"/>
          <w:szCs w:val="22"/>
        </w:rPr>
        <w:t xml:space="preserve"> a series of </w:t>
      </w:r>
      <w:r w:rsidR="00B900D3">
        <w:rPr>
          <w:rFonts w:ascii="Times New Roman" w:hAnsi="Times New Roman" w:cs="Times New Roman"/>
          <w:szCs w:val="22"/>
        </w:rPr>
        <w:t xml:space="preserve">monthly </w:t>
      </w:r>
      <w:r w:rsidR="00B900D3">
        <w:rPr>
          <w:rFonts w:ascii="Times New Roman" w:hAnsi="Times New Roman" w:cs="Times New Roman"/>
          <w:szCs w:val="22"/>
        </w:rPr>
        <w:t xml:space="preserve">workshops throughout the year </w:t>
      </w:r>
      <w:r w:rsidR="00B900D3">
        <w:rPr>
          <w:rFonts w:ascii="Times New Roman" w:hAnsi="Times New Roman" w:cs="Times New Roman"/>
          <w:szCs w:val="22"/>
        </w:rPr>
        <w:t>to</w:t>
      </w:r>
      <w:r w:rsidR="00B900D3">
        <w:rPr>
          <w:rFonts w:ascii="Times New Roman" w:hAnsi="Times New Roman" w:cs="Times New Roman"/>
          <w:szCs w:val="22"/>
        </w:rPr>
        <w:t xml:space="preserve"> encourage </w:t>
      </w:r>
      <w:r w:rsidR="00B900D3">
        <w:rPr>
          <w:rFonts w:ascii="Times New Roman" w:hAnsi="Times New Roman" w:cs="Times New Roman"/>
          <w:szCs w:val="22"/>
        </w:rPr>
        <w:t xml:space="preserve">our diverse group of participants – graduate students and faculty from a dozen different departments – gather and to </w:t>
      </w:r>
      <w:r w:rsidR="00B900D3">
        <w:rPr>
          <w:rFonts w:ascii="Times New Roman" w:hAnsi="Times New Roman" w:cs="Times New Roman"/>
          <w:szCs w:val="22"/>
        </w:rPr>
        <w:t>continual</w:t>
      </w:r>
      <w:r w:rsidR="00B900D3">
        <w:rPr>
          <w:rFonts w:ascii="Times New Roman" w:hAnsi="Times New Roman" w:cs="Times New Roman"/>
          <w:szCs w:val="22"/>
        </w:rPr>
        <w:t>ly</w:t>
      </w:r>
      <w:r w:rsidR="00B900D3">
        <w:rPr>
          <w:rFonts w:ascii="Times New Roman" w:hAnsi="Times New Roman" w:cs="Times New Roman"/>
          <w:szCs w:val="22"/>
        </w:rPr>
        <w:t xml:space="preserve"> </w:t>
      </w:r>
      <w:r w:rsidR="00B900D3">
        <w:rPr>
          <w:rFonts w:ascii="Times New Roman" w:hAnsi="Times New Roman" w:cs="Times New Roman"/>
          <w:szCs w:val="22"/>
        </w:rPr>
        <w:t>reflect</w:t>
      </w:r>
      <w:r w:rsidR="00B900D3">
        <w:rPr>
          <w:rFonts w:ascii="Times New Roman" w:hAnsi="Times New Roman" w:cs="Times New Roman"/>
          <w:szCs w:val="22"/>
        </w:rPr>
        <w:t xml:space="preserve"> on and exchange </w:t>
      </w:r>
      <w:r w:rsidR="00B900D3">
        <w:rPr>
          <w:rFonts w:ascii="Times New Roman" w:hAnsi="Times New Roman" w:cs="Times New Roman"/>
          <w:szCs w:val="22"/>
        </w:rPr>
        <w:t xml:space="preserve">ideas </w:t>
      </w:r>
      <w:r w:rsidR="00B900D3">
        <w:rPr>
          <w:rFonts w:ascii="Times New Roman" w:hAnsi="Times New Roman" w:cs="Times New Roman"/>
          <w:szCs w:val="22"/>
        </w:rPr>
        <w:t xml:space="preserve">around the topic of </w:t>
      </w:r>
      <w:r w:rsidR="00B900D3">
        <w:rPr>
          <w:rFonts w:ascii="Times New Roman" w:hAnsi="Times New Roman" w:cs="Times New Roman"/>
          <w:szCs w:val="22"/>
        </w:rPr>
        <w:t xml:space="preserve">‘Frontier and Province’.  We had hoped that this organization would </w:t>
      </w:r>
      <w:r w:rsidR="00B900D3">
        <w:rPr>
          <w:rFonts w:ascii="Times New Roman" w:hAnsi="Times New Roman" w:cs="Times New Roman"/>
          <w:szCs w:val="22"/>
        </w:rPr>
        <w:t xml:space="preserve">facilitate a sense of collective intellectual ‘progress’ on </w:t>
      </w:r>
      <w:r w:rsidR="00B900D3">
        <w:rPr>
          <w:rFonts w:ascii="Times New Roman" w:hAnsi="Times New Roman" w:cs="Times New Roman"/>
          <w:szCs w:val="22"/>
        </w:rPr>
        <w:t>this</w:t>
      </w:r>
      <w:r w:rsidR="00B900D3">
        <w:rPr>
          <w:rFonts w:ascii="Times New Roman" w:hAnsi="Times New Roman" w:cs="Times New Roman"/>
          <w:szCs w:val="22"/>
        </w:rPr>
        <w:t xml:space="preserve"> complex and multi-faceted topic over the course of the year, and </w:t>
      </w:r>
      <w:r w:rsidR="00B900D3">
        <w:rPr>
          <w:rFonts w:ascii="Times New Roman" w:hAnsi="Times New Roman" w:cs="Times New Roman"/>
          <w:szCs w:val="22"/>
        </w:rPr>
        <w:t xml:space="preserve">would </w:t>
      </w:r>
      <w:r w:rsidR="00B900D3">
        <w:rPr>
          <w:rFonts w:ascii="Times New Roman" w:hAnsi="Times New Roman" w:cs="Times New Roman"/>
          <w:szCs w:val="22"/>
        </w:rPr>
        <w:t xml:space="preserve">produce </w:t>
      </w:r>
      <w:r w:rsidR="00B900D3">
        <w:rPr>
          <w:rFonts w:ascii="Times New Roman" w:hAnsi="Times New Roman" w:cs="Times New Roman"/>
          <w:szCs w:val="22"/>
        </w:rPr>
        <w:t>some robust ideas that would inform</w:t>
      </w:r>
      <w:r w:rsidR="00B900D3">
        <w:rPr>
          <w:rFonts w:ascii="Times New Roman" w:hAnsi="Times New Roman" w:cs="Times New Roman"/>
          <w:szCs w:val="22"/>
        </w:rPr>
        <w:t xml:space="preserve"> graduate and faculty research in lasting ways.</w:t>
      </w:r>
      <w:r w:rsidR="00B900D3">
        <w:rPr>
          <w:rFonts w:ascii="Times New Roman" w:hAnsi="Times New Roman" w:cs="Times New Roman"/>
          <w:szCs w:val="22"/>
        </w:rPr>
        <w:t xml:space="preserve">  </w:t>
      </w:r>
      <w:r w:rsidR="00B900D3">
        <w:rPr>
          <w:rFonts w:ascii="Times New Roman" w:hAnsi="Times New Roman" w:cs="Times New Roman"/>
        </w:rPr>
        <w:t xml:space="preserve">We invited a lineup of distinguished speakers over the course of the year who spoke on a variety of </w:t>
      </w:r>
      <w:r w:rsidR="00051C12">
        <w:rPr>
          <w:rFonts w:ascii="Times New Roman" w:hAnsi="Times New Roman" w:cs="Times New Roman"/>
        </w:rPr>
        <w:t xml:space="preserve">related </w:t>
      </w:r>
      <w:r w:rsidR="00B900D3">
        <w:rPr>
          <w:rFonts w:ascii="Times New Roman" w:hAnsi="Times New Roman" w:cs="Times New Roman"/>
        </w:rPr>
        <w:t xml:space="preserve">topics </w:t>
      </w:r>
      <w:r w:rsidR="00051C12">
        <w:rPr>
          <w:rFonts w:ascii="Times New Roman" w:hAnsi="Times New Roman" w:cs="Times New Roman"/>
        </w:rPr>
        <w:t>–</w:t>
      </w:r>
      <w:r w:rsidR="00B900D3">
        <w:rPr>
          <w:rFonts w:ascii="Times New Roman" w:hAnsi="Times New Roman" w:cs="Times New Roman"/>
        </w:rPr>
        <w:t xml:space="preserve"> </w:t>
      </w:r>
      <w:r w:rsidR="00051C12">
        <w:rPr>
          <w:rFonts w:ascii="Times New Roman" w:hAnsi="Times New Roman" w:cs="Times New Roman"/>
        </w:rPr>
        <w:t xml:space="preserve">the Greek novel and the Roman frontier in Egypt (Rob Cioffi, Dartmouth), </w:t>
      </w:r>
      <w:r w:rsidR="00A944A3">
        <w:rPr>
          <w:rFonts w:ascii="Times New Roman" w:hAnsi="Times New Roman" w:cs="Times New Roman"/>
        </w:rPr>
        <w:t xml:space="preserve">conceptualizing </w:t>
      </w:r>
      <w:r w:rsidR="00051C12">
        <w:rPr>
          <w:rFonts w:ascii="Times New Roman" w:hAnsi="Times New Roman" w:cs="Times New Roman"/>
        </w:rPr>
        <w:t xml:space="preserve">the province in a neo-Assyrian context (Karen Radner, Munich), </w:t>
      </w:r>
      <w:r w:rsidR="00037DD0">
        <w:rPr>
          <w:rFonts w:ascii="Times New Roman" w:hAnsi="Times New Roman" w:cs="Times New Roman"/>
        </w:rPr>
        <w:t>land assignments to soldiers in the Hellenistic Mediterranean (Alain Bresson, Chicago)</w:t>
      </w:r>
      <w:r w:rsidR="00B900D3">
        <w:rPr>
          <w:rFonts w:ascii="Times New Roman" w:hAnsi="Times New Roman" w:cs="Times New Roman"/>
        </w:rPr>
        <w:t>,</w:t>
      </w:r>
      <w:r w:rsidR="00037DD0">
        <w:rPr>
          <w:rFonts w:ascii="Times New Roman" w:hAnsi="Times New Roman" w:cs="Times New Roman"/>
        </w:rPr>
        <w:t xml:space="preserve"> </w:t>
      </w:r>
      <w:r w:rsidR="00284797">
        <w:rPr>
          <w:rFonts w:ascii="Times New Roman" w:hAnsi="Times New Roman" w:cs="Times New Roman"/>
        </w:rPr>
        <w:t xml:space="preserve">rethinking the Roman </w:t>
      </w:r>
      <w:r w:rsidR="00284797">
        <w:rPr>
          <w:rFonts w:ascii="Times New Roman" w:hAnsi="Times New Roman" w:cs="Times New Roman"/>
          <w:i/>
        </w:rPr>
        <w:t xml:space="preserve">provincia </w:t>
      </w:r>
      <w:r w:rsidR="00284797">
        <w:rPr>
          <w:rFonts w:ascii="Times New Roman" w:hAnsi="Times New Roman" w:cs="Times New Roman"/>
        </w:rPr>
        <w:t>in the case of Spain (Alicia Jim</w:t>
      </w:r>
      <w:r w:rsidR="00284797">
        <w:rPr>
          <w:rFonts w:ascii="Times New Roman" w:hAnsi="Times New Roman" w:cs="Times New Roman"/>
          <w:lang w:val="es-ES"/>
        </w:rPr>
        <w:t>é</w:t>
      </w:r>
      <w:r w:rsidR="00284797">
        <w:rPr>
          <w:rFonts w:ascii="Times New Roman" w:hAnsi="Times New Roman" w:cs="Times New Roman"/>
        </w:rPr>
        <w:t>nez, Duke), reassessing the frontier and imperial formation among the steppe nomads of ancient China (Nicola di Cosmo, IAS), comparative approaches to provincial spaces and layered monarchies in the Roman Empire and Han China (Carlos Nore</w:t>
      </w:r>
      <w:r w:rsidR="00284797">
        <w:rPr>
          <w:rFonts w:ascii="Times New Roman" w:hAnsi="Times New Roman" w:cs="Times New Roman"/>
          <w:lang w:val="es-ES"/>
        </w:rPr>
        <w:t>ña</w:t>
      </w:r>
      <w:r w:rsidR="00284797">
        <w:rPr>
          <w:rFonts w:ascii="Times New Roman" w:hAnsi="Times New Roman" w:cs="Times New Roman"/>
        </w:rPr>
        <w:t>, Berkeley)</w:t>
      </w:r>
      <w:r w:rsidR="000936E1">
        <w:rPr>
          <w:rFonts w:ascii="Times New Roman" w:hAnsi="Times New Roman" w:cs="Times New Roman"/>
        </w:rPr>
        <w:t>, and provincial participation in imperial culture and administration in Achaemenid Anatolia (Beth Dusinberre, Colorado)</w:t>
      </w:r>
      <w:r w:rsidR="00284797">
        <w:rPr>
          <w:rFonts w:ascii="Times New Roman" w:hAnsi="Times New Roman" w:cs="Times New Roman"/>
        </w:rPr>
        <w:t xml:space="preserve"> – </w:t>
      </w:r>
      <w:r w:rsidR="00B900D3">
        <w:rPr>
          <w:rFonts w:ascii="Times New Roman" w:hAnsi="Times New Roman" w:cs="Times New Roman"/>
        </w:rPr>
        <w:t xml:space="preserve">and our sense was that these workshops were a great success, thanks in large part to the active and consistent engagement of the participants.  In the spring term, these workshops </w:t>
      </w:r>
      <w:r w:rsidR="000936E1">
        <w:rPr>
          <w:rFonts w:ascii="Times New Roman" w:hAnsi="Times New Roman" w:cs="Times New Roman"/>
        </w:rPr>
        <w:t>were meant to dovetail</w:t>
      </w:r>
      <w:r w:rsidR="00B900D3">
        <w:rPr>
          <w:rFonts w:ascii="Times New Roman" w:hAnsi="Times New Roman" w:cs="Times New Roman"/>
        </w:rPr>
        <w:t xml:space="preserve"> with a graduate seminar around the same topic, which attracted several auditors and nine students</w:t>
      </w:r>
      <w:r w:rsidR="00036761">
        <w:rPr>
          <w:rFonts w:ascii="Times New Roman" w:hAnsi="Times New Roman" w:cs="Times New Roman"/>
        </w:rPr>
        <w:t xml:space="preserve"> (seven graduate, two undergraduate)</w:t>
      </w:r>
      <w:r w:rsidR="00B900D3">
        <w:rPr>
          <w:rFonts w:ascii="Times New Roman" w:hAnsi="Times New Roman" w:cs="Times New Roman"/>
        </w:rPr>
        <w:t xml:space="preserve">, who came together from a wide range of home departments (Classics, History, Art History, Law, Religious Studies, Anthropology). </w:t>
      </w:r>
    </w:p>
    <w:p w14:paraId="0DB0ACDF" w14:textId="77777777" w:rsidR="0037714B" w:rsidRDefault="0037714B" w:rsidP="00711AC8">
      <w:pPr>
        <w:rPr>
          <w:rFonts w:ascii="Times New Roman" w:hAnsi="Times New Roman" w:cs="Times New Roman"/>
        </w:rPr>
      </w:pPr>
    </w:p>
    <w:p w14:paraId="64ECFA66" w14:textId="77777777" w:rsidR="00815816" w:rsidRPr="00C77521" w:rsidRDefault="00815816" w:rsidP="00711AC8">
      <w:pPr>
        <w:rPr>
          <w:rFonts w:ascii="Times New Roman" w:hAnsi="Times New Roman" w:cs="Times New Roman"/>
          <w:smallCaps/>
        </w:rPr>
      </w:pPr>
      <w:r w:rsidRPr="00715618">
        <w:rPr>
          <w:rFonts w:ascii="Times New Roman" w:hAnsi="Times New Roman" w:cs="Times New Roman"/>
          <w:smallCaps/>
          <w:sz w:val="28"/>
        </w:rPr>
        <w:lastRenderedPageBreak/>
        <w:t>Student-Generated Research</w:t>
      </w:r>
      <w:r w:rsidRPr="00C77521">
        <w:rPr>
          <w:rFonts w:ascii="Times New Roman" w:hAnsi="Times New Roman" w:cs="Times New Roman"/>
          <w:smallCaps/>
        </w:rPr>
        <w:t>:</w:t>
      </w:r>
    </w:p>
    <w:p w14:paraId="724F1183" w14:textId="77777777" w:rsidR="00815816" w:rsidRDefault="00815816" w:rsidP="00711AC8">
      <w:pPr>
        <w:rPr>
          <w:rFonts w:ascii="Times New Roman" w:hAnsi="Times New Roman" w:cs="Times New Roman"/>
        </w:rPr>
      </w:pPr>
    </w:p>
    <w:p w14:paraId="119121E0" w14:textId="683ECE5E" w:rsidR="00B45711" w:rsidRDefault="008F2FF9" w:rsidP="00711AC8">
      <w:pPr>
        <w:rPr>
          <w:rFonts w:ascii="Times New Roman" w:hAnsi="Times New Roman" w:cs="Times New Roman"/>
        </w:rPr>
      </w:pPr>
      <w:r>
        <w:rPr>
          <w:rFonts w:ascii="Times New Roman" w:hAnsi="Times New Roman" w:cs="Times New Roman"/>
        </w:rPr>
        <w:tab/>
        <w:t xml:space="preserve">In the course of the </w:t>
      </w:r>
      <w:r w:rsidR="001B6934">
        <w:rPr>
          <w:rFonts w:ascii="Times New Roman" w:hAnsi="Times New Roman" w:cs="Times New Roman"/>
        </w:rPr>
        <w:t xml:space="preserve">spring </w:t>
      </w:r>
      <w:r w:rsidR="00125576">
        <w:rPr>
          <w:rFonts w:ascii="Times New Roman" w:hAnsi="Times New Roman" w:cs="Times New Roman"/>
        </w:rPr>
        <w:t xml:space="preserve">semester, students in the graduate seminar </w:t>
      </w:r>
      <w:r w:rsidR="00255160">
        <w:rPr>
          <w:rFonts w:ascii="Times New Roman" w:hAnsi="Times New Roman" w:cs="Times New Roman"/>
        </w:rPr>
        <w:t>worked through</w:t>
      </w:r>
      <w:r w:rsidR="00CF3831">
        <w:rPr>
          <w:rFonts w:ascii="Times New Roman" w:hAnsi="Times New Roman" w:cs="Times New Roman"/>
        </w:rPr>
        <w:t xml:space="preserve"> the</w:t>
      </w:r>
      <w:r w:rsidR="00255160">
        <w:rPr>
          <w:rFonts w:ascii="Times New Roman" w:hAnsi="Times New Roman" w:cs="Times New Roman"/>
        </w:rPr>
        <w:t xml:space="preserve"> </w:t>
      </w:r>
      <w:r w:rsidR="000F0705">
        <w:rPr>
          <w:rFonts w:ascii="Times New Roman" w:hAnsi="Times New Roman" w:cs="Times New Roman"/>
        </w:rPr>
        <w:t xml:space="preserve">major </w:t>
      </w:r>
      <w:r w:rsidR="00CF3831">
        <w:rPr>
          <w:rFonts w:ascii="Times New Roman" w:hAnsi="Times New Roman" w:cs="Times New Roman"/>
        </w:rPr>
        <w:t>methodological, historiographical, and theoretical questions concerning frontiers and provinces</w:t>
      </w:r>
      <w:r w:rsidR="00255160">
        <w:rPr>
          <w:rFonts w:ascii="Times New Roman" w:hAnsi="Times New Roman" w:cs="Times New Roman"/>
        </w:rPr>
        <w:t xml:space="preserve"> in three major parts.  First </w:t>
      </w:r>
      <w:r w:rsidR="00D57E33">
        <w:rPr>
          <w:rFonts w:ascii="Times New Roman" w:hAnsi="Times New Roman" w:cs="Times New Roman"/>
        </w:rPr>
        <w:t>we focused on</w:t>
      </w:r>
      <w:r w:rsidR="00255160">
        <w:rPr>
          <w:rFonts w:ascii="Times New Roman" w:hAnsi="Times New Roman" w:cs="Times New Roman"/>
        </w:rPr>
        <w:t xml:space="preserve"> frontiers, beginning with</w:t>
      </w:r>
      <w:r w:rsidR="003924BD">
        <w:rPr>
          <w:rFonts w:ascii="Times New Roman" w:hAnsi="Times New Roman" w:cs="Times New Roman"/>
        </w:rPr>
        <w:t xml:space="preserve"> theoretical and comparative approaches to the frontier, </w:t>
      </w:r>
      <w:r w:rsidR="00255160">
        <w:rPr>
          <w:rFonts w:ascii="Times New Roman" w:hAnsi="Times New Roman" w:cs="Times New Roman"/>
        </w:rPr>
        <w:t xml:space="preserve">and progressing to </w:t>
      </w:r>
      <w:r w:rsidR="00D57E33">
        <w:rPr>
          <w:rFonts w:ascii="Times New Roman" w:hAnsi="Times New Roman" w:cs="Times New Roman"/>
        </w:rPr>
        <w:t xml:space="preserve">the intersection of frontiers with various other related concepts and problems: nomadism, ethnicity, knowledge (especially the intellectual discourses of </w:t>
      </w:r>
      <w:r w:rsidR="003924BD">
        <w:rPr>
          <w:rFonts w:ascii="Times New Roman" w:hAnsi="Times New Roman" w:cs="Times New Roman"/>
        </w:rPr>
        <w:t xml:space="preserve">ethnography and geography), </w:t>
      </w:r>
      <w:r w:rsidR="00D57E33">
        <w:rPr>
          <w:rFonts w:ascii="Times New Roman" w:hAnsi="Times New Roman" w:cs="Times New Roman"/>
        </w:rPr>
        <w:t xml:space="preserve">and </w:t>
      </w:r>
      <w:r w:rsidR="003924BD">
        <w:rPr>
          <w:rFonts w:ascii="Times New Roman" w:hAnsi="Times New Roman" w:cs="Times New Roman"/>
        </w:rPr>
        <w:t xml:space="preserve">exclusion </w:t>
      </w:r>
      <w:r w:rsidR="00D57E33">
        <w:rPr>
          <w:rFonts w:ascii="Times New Roman" w:hAnsi="Times New Roman" w:cs="Times New Roman"/>
        </w:rPr>
        <w:t>and domination.  After this, we turned to the idea of the province:</w:t>
      </w:r>
      <w:r w:rsidR="003924BD">
        <w:rPr>
          <w:rFonts w:ascii="Times New Roman" w:hAnsi="Times New Roman" w:cs="Times New Roman"/>
        </w:rPr>
        <w:t xml:space="preserve"> </w:t>
      </w:r>
      <w:r w:rsidR="00D57E33">
        <w:rPr>
          <w:rFonts w:ascii="Times New Roman" w:hAnsi="Times New Roman" w:cs="Times New Roman"/>
        </w:rPr>
        <w:t xml:space="preserve">from </w:t>
      </w:r>
      <w:r w:rsidR="003924BD">
        <w:rPr>
          <w:rFonts w:ascii="Times New Roman" w:hAnsi="Times New Roman" w:cs="Times New Roman"/>
        </w:rPr>
        <w:t>theoretical and comparative approaches,</w:t>
      </w:r>
      <w:r w:rsidR="00D57E33">
        <w:rPr>
          <w:rFonts w:ascii="Times New Roman" w:hAnsi="Times New Roman" w:cs="Times New Roman"/>
        </w:rPr>
        <w:t xml:space="preserve"> we looked</w:t>
      </w:r>
      <w:r w:rsidR="003924BD">
        <w:rPr>
          <w:rFonts w:ascii="Times New Roman" w:hAnsi="Times New Roman" w:cs="Times New Roman"/>
        </w:rPr>
        <w:t xml:space="preserve"> at the moment of incorporation and integration</w:t>
      </w:r>
      <w:r w:rsidR="00D57E33">
        <w:rPr>
          <w:rFonts w:ascii="Times New Roman" w:hAnsi="Times New Roman" w:cs="Times New Roman"/>
        </w:rPr>
        <w:t xml:space="preserve"> at which a frontier transforms into a province</w:t>
      </w:r>
      <w:r w:rsidR="003924BD">
        <w:rPr>
          <w:rFonts w:ascii="Times New Roman" w:hAnsi="Times New Roman" w:cs="Times New Roman"/>
        </w:rPr>
        <w:t xml:space="preserve">, strategies of domination and control, intermediate and local elites, </w:t>
      </w:r>
      <w:r w:rsidR="00D57E33">
        <w:rPr>
          <w:rFonts w:ascii="Times New Roman" w:hAnsi="Times New Roman" w:cs="Times New Roman"/>
        </w:rPr>
        <w:t>and ultimately thought about how we might recover the voices, agencies, perspectives, and identities of provincials themselves.</w:t>
      </w:r>
      <w:r w:rsidR="003924BD">
        <w:rPr>
          <w:rFonts w:ascii="Times New Roman" w:hAnsi="Times New Roman" w:cs="Times New Roman"/>
        </w:rPr>
        <w:t xml:space="preserve"> </w:t>
      </w:r>
      <w:r w:rsidR="00D57E33">
        <w:rPr>
          <w:rFonts w:ascii="Times New Roman" w:hAnsi="Times New Roman" w:cs="Times New Roman"/>
        </w:rPr>
        <w:t xml:space="preserve"> We concluded by </w:t>
      </w:r>
      <w:r w:rsidR="00B45711">
        <w:rPr>
          <w:rFonts w:ascii="Times New Roman" w:hAnsi="Times New Roman" w:cs="Times New Roman"/>
        </w:rPr>
        <w:t>exploring the legacy of t</w:t>
      </w:r>
      <w:r w:rsidR="00C2060D">
        <w:rPr>
          <w:rFonts w:ascii="Times New Roman" w:hAnsi="Times New Roman" w:cs="Times New Roman"/>
        </w:rPr>
        <w:t>he pasts of ancient frontiers and</w:t>
      </w:r>
      <w:r w:rsidR="00B45711">
        <w:rPr>
          <w:rFonts w:ascii="Times New Roman" w:hAnsi="Times New Roman" w:cs="Times New Roman"/>
        </w:rPr>
        <w:t xml:space="preserve"> provinces in the present: the ways in which the modern world is </w:t>
      </w:r>
      <w:r w:rsidR="009C049F">
        <w:rPr>
          <w:rFonts w:ascii="Times New Roman" w:hAnsi="Times New Roman" w:cs="Times New Roman"/>
        </w:rPr>
        <w:t xml:space="preserve">heavily </w:t>
      </w:r>
      <w:r w:rsidR="00B45711">
        <w:rPr>
          <w:rFonts w:ascii="Times New Roman" w:hAnsi="Times New Roman" w:cs="Times New Roman"/>
        </w:rPr>
        <w:t>burdened by the premodern</w:t>
      </w:r>
      <w:r w:rsidR="003924BD">
        <w:rPr>
          <w:rFonts w:ascii="Times New Roman" w:hAnsi="Times New Roman" w:cs="Times New Roman"/>
        </w:rPr>
        <w:t xml:space="preserve">. </w:t>
      </w:r>
    </w:p>
    <w:p w14:paraId="5E5FD576" w14:textId="48F3C706" w:rsidR="00815816" w:rsidRDefault="000F0705" w:rsidP="000F0705">
      <w:pPr>
        <w:ind w:firstLine="720"/>
        <w:rPr>
          <w:rFonts w:ascii="Times New Roman" w:hAnsi="Times New Roman" w:cs="Times New Roman"/>
        </w:rPr>
      </w:pPr>
      <w:r>
        <w:rPr>
          <w:rFonts w:ascii="Times New Roman" w:hAnsi="Times New Roman" w:cs="Times New Roman"/>
        </w:rPr>
        <w:t xml:space="preserve">For their </w:t>
      </w:r>
      <w:r w:rsidR="007A7576">
        <w:rPr>
          <w:rFonts w:ascii="Times New Roman" w:hAnsi="Times New Roman" w:cs="Times New Roman"/>
        </w:rPr>
        <w:t xml:space="preserve">short </w:t>
      </w:r>
      <w:r w:rsidR="001B6934">
        <w:rPr>
          <w:rFonts w:ascii="Times New Roman" w:hAnsi="Times New Roman" w:cs="Times New Roman"/>
        </w:rPr>
        <w:t xml:space="preserve">midterm </w:t>
      </w:r>
      <w:r w:rsidR="00C641A9">
        <w:rPr>
          <w:rFonts w:ascii="Times New Roman" w:hAnsi="Times New Roman" w:cs="Times New Roman"/>
        </w:rPr>
        <w:t>essay</w:t>
      </w:r>
      <w:r w:rsidR="007A7576">
        <w:rPr>
          <w:rFonts w:ascii="Times New Roman" w:hAnsi="Times New Roman" w:cs="Times New Roman"/>
        </w:rPr>
        <w:t>, students were asked</w:t>
      </w:r>
      <w:r>
        <w:rPr>
          <w:rFonts w:ascii="Times New Roman" w:hAnsi="Times New Roman" w:cs="Times New Roman"/>
        </w:rPr>
        <w:t xml:space="preserve"> to synthesize our previous discussions, and</w:t>
      </w:r>
      <w:r w:rsidR="007A7576">
        <w:rPr>
          <w:rFonts w:ascii="Times New Roman" w:hAnsi="Times New Roman" w:cs="Times New Roman"/>
        </w:rPr>
        <w:t xml:space="preserve"> to work toward a definition of the nature and basis of the frontier, and</w:t>
      </w:r>
      <w:r>
        <w:rPr>
          <w:rFonts w:ascii="Times New Roman" w:hAnsi="Times New Roman" w:cs="Times New Roman"/>
        </w:rPr>
        <w:t xml:space="preserve"> specifically</w:t>
      </w:r>
      <w:r w:rsidR="007A7576">
        <w:rPr>
          <w:rFonts w:ascii="Times New Roman" w:hAnsi="Times New Roman" w:cs="Times New Roman"/>
        </w:rPr>
        <w:t xml:space="preserve"> to </w:t>
      </w:r>
      <w:r>
        <w:rPr>
          <w:rFonts w:ascii="Times New Roman" w:hAnsi="Times New Roman" w:cs="Times New Roman"/>
        </w:rPr>
        <w:t>address</w:t>
      </w:r>
      <w:r w:rsidR="007A7576">
        <w:rPr>
          <w:rFonts w:ascii="Times New Roman" w:hAnsi="Times New Roman" w:cs="Times New Roman"/>
        </w:rPr>
        <w:t xml:space="preserve"> whether </w:t>
      </w:r>
      <w:r w:rsidR="007A7576" w:rsidRPr="00145EE4">
        <w:rPr>
          <w:rFonts w:ascii="Times New Roman" w:hAnsi="Times New Roman" w:cs="Times New Roman"/>
        </w:rPr>
        <w:t xml:space="preserve">frontiers </w:t>
      </w:r>
      <w:r w:rsidR="007A7576">
        <w:rPr>
          <w:rFonts w:ascii="Times New Roman" w:hAnsi="Times New Roman" w:cs="Times New Roman"/>
        </w:rPr>
        <w:t xml:space="preserve">are </w:t>
      </w:r>
      <w:r w:rsidR="007A7576" w:rsidRPr="00145EE4">
        <w:rPr>
          <w:rFonts w:ascii="Times New Roman" w:hAnsi="Times New Roman" w:cs="Times New Roman"/>
        </w:rPr>
        <w:t>theoretical concepts, produced and performed by discourse within and among cultures, or are instead better conceived as physical processes that give rise to such discourse</w:t>
      </w:r>
      <w:r>
        <w:rPr>
          <w:rFonts w:ascii="Times New Roman" w:hAnsi="Times New Roman" w:cs="Times New Roman"/>
        </w:rPr>
        <w:t xml:space="preserve">.  </w:t>
      </w:r>
      <w:r w:rsidR="00C641A9">
        <w:rPr>
          <w:rFonts w:ascii="Times New Roman" w:hAnsi="Times New Roman" w:cs="Times New Roman"/>
        </w:rPr>
        <w:t xml:space="preserve">These response papers generated </w:t>
      </w:r>
      <w:r w:rsidR="000E7CF7">
        <w:rPr>
          <w:rFonts w:ascii="Times New Roman" w:hAnsi="Times New Roman" w:cs="Times New Roman"/>
        </w:rPr>
        <w:t>further lively discussion and debate, upon which each student built in his or her final research paper, on a topic of their choosing, closely related to their particular field of specialization</w:t>
      </w:r>
      <w:r w:rsidR="00B02895">
        <w:rPr>
          <w:rFonts w:ascii="Times New Roman" w:hAnsi="Times New Roman" w:cs="Times New Roman"/>
        </w:rPr>
        <w:t>:</w:t>
      </w:r>
      <w:r w:rsidR="001B6934">
        <w:rPr>
          <w:rFonts w:ascii="Times New Roman" w:hAnsi="Times New Roman" w:cs="Times New Roman"/>
        </w:rPr>
        <w:t xml:space="preserve"> </w:t>
      </w:r>
      <w:r>
        <w:rPr>
          <w:rFonts w:ascii="Times New Roman" w:hAnsi="Times New Roman" w:cs="Times New Roman"/>
        </w:rPr>
        <w:t xml:space="preserve">from sovereignty and practices of territory in the </w:t>
      </w:r>
      <w:r w:rsidR="001B6934">
        <w:rPr>
          <w:rFonts w:ascii="Times New Roman" w:hAnsi="Times New Roman" w:cs="Times New Roman"/>
        </w:rPr>
        <w:t xml:space="preserve">South China Sea, </w:t>
      </w:r>
      <w:r>
        <w:rPr>
          <w:rFonts w:ascii="Times New Roman" w:hAnsi="Times New Roman" w:cs="Times New Roman"/>
        </w:rPr>
        <w:t xml:space="preserve">to identity and discursive constructions of boundaries in late antique </w:t>
      </w:r>
      <w:r w:rsidR="001B6934">
        <w:rPr>
          <w:rFonts w:ascii="Times New Roman" w:hAnsi="Times New Roman" w:cs="Times New Roman"/>
        </w:rPr>
        <w:t xml:space="preserve">Israel, </w:t>
      </w:r>
      <w:r>
        <w:rPr>
          <w:rFonts w:ascii="Times New Roman" w:hAnsi="Times New Roman" w:cs="Times New Roman"/>
        </w:rPr>
        <w:t xml:space="preserve">to cultural appropriation and exoticism in </w:t>
      </w:r>
      <w:r w:rsidR="001B6934">
        <w:rPr>
          <w:rFonts w:ascii="Times New Roman" w:hAnsi="Times New Roman" w:cs="Times New Roman"/>
        </w:rPr>
        <w:t xml:space="preserve">the Nile Valley, </w:t>
      </w:r>
      <w:r>
        <w:rPr>
          <w:rFonts w:ascii="Times New Roman" w:hAnsi="Times New Roman" w:cs="Times New Roman"/>
        </w:rPr>
        <w:t xml:space="preserve">to colonialism and the Greek imagination in Classical </w:t>
      </w:r>
      <w:r w:rsidR="001B6934">
        <w:rPr>
          <w:rFonts w:ascii="Times New Roman" w:hAnsi="Times New Roman" w:cs="Times New Roman"/>
        </w:rPr>
        <w:t xml:space="preserve">Sicily, </w:t>
      </w:r>
      <w:r>
        <w:rPr>
          <w:rFonts w:ascii="Times New Roman" w:hAnsi="Times New Roman" w:cs="Times New Roman"/>
        </w:rPr>
        <w:t xml:space="preserve">to conceptions of </w:t>
      </w:r>
      <w:r w:rsidR="001B6934">
        <w:rPr>
          <w:rFonts w:ascii="Times New Roman" w:hAnsi="Times New Roman" w:cs="Times New Roman"/>
        </w:rPr>
        <w:t xml:space="preserve">resistance across the provinces of imperial Rome, </w:t>
      </w:r>
      <w:r>
        <w:rPr>
          <w:rFonts w:ascii="Times New Roman" w:hAnsi="Times New Roman" w:cs="Times New Roman"/>
        </w:rPr>
        <w:t xml:space="preserve">to </w:t>
      </w:r>
      <w:r w:rsidR="001B6934">
        <w:rPr>
          <w:rFonts w:ascii="Times New Roman" w:hAnsi="Times New Roman" w:cs="Times New Roman"/>
        </w:rPr>
        <w:t xml:space="preserve">cultural change in </w:t>
      </w:r>
      <w:r>
        <w:rPr>
          <w:rFonts w:ascii="Times New Roman" w:hAnsi="Times New Roman" w:cs="Times New Roman"/>
        </w:rPr>
        <w:t xml:space="preserve">the archaeological record of </w:t>
      </w:r>
      <w:r w:rsidR="001B6934">
        <w:rPr>
          <w:rFonts w:ascii="Times New Roman" w:hAnsi="Times New Roman" w:cs="Times New Roman"/>
        </w:rPr>
        <w:t xml:space="preserve">Roman Belgium, </w:t>
      </w:r>
      <w:r>
        <w:rPr>
          <w:rFonts w:ascii="Times New Roman" w:hAnsi="Times New Roman" w:cs="Times New Roman"/>
        </w:rPr>
        <w:t xml:space="preserve">to ethnographic representation in Medieval writings about the rugged </w:t>
      </w:r>
      <w:r w:rsidR="001B6934">
        <w:rPr>
          <w:rFonts w:ascii="Times New Roman" w:hAnsi="Times New Roman" w:cs="Times New Roman"/>
        </w:rPr>
        <w:t xml:space="preserve">pilgrimage routes of northern Spain, </w:t>
      </w:r>
      <w:r>
        <w:rPr>
          <w:rFonts w:ascii="Times New Roman" w:hAnsi="Times New Roman" w:cs="Times New Roman"/>
        </w:rPr>
        <w:t xml:space="preserve">to Roman </w:t>
      </w:r>
      <w:r w:rsidR="001B6934">
        <w:rPr>
          <w:rFonts w:ascii="Times New Roman" w:hAnsi="Times New Roman" w:cs="Times New Roman"/>
        </w:rPr>
        <w:t>legal traditions on the North American frontier</w:t>
      </w:r>
      <w:r>
        <w:rPr>
          <w:rFonts w:ascii="Times New Roman" w:hAnsi="Times New Roman" w:cs="Times New Roman"/>
        </w:rPr>
        <w:t>, to</w:t>
      </w:r>
      <w:r w:rsidR="001B6934">
        <w:rPr>
          <w:rFonts w:ascii="Times New Roman" w:hAnsi="Times New Roman" w:cs="Times New Roman"/>
        </w:rPr>
        <w:t xml:space="preserve"> material evidence for interaction in Classic southeastern Mesoamerica.  </w:t>
      </w:r>
      <w:r w:rsidR="00B50A1B">
        <w:rPr>
          <w:rFonts w:ascii="Times New Roman" w:hAnsi="Times New Roman" w:cs="Times New Roman"/>
        </w:rPr>
        <w:t>The fact that across a</w:t>
      </w:r>
      <w:r w:rsidR="000E7CF7">
        <w:rPr>
          <w:rFonts w:ascii="Times New Roman" w:hAnsi="Times New Roman" w:cs="Times New Roman"/>
        </w:rPr>
        <w:t xml:space="preserve"> remarkable range of original research conducted by the students in the seminar, </w:t>
      </w:r>
      <w:r w:rsidR="00B50A1B">
        <w:rPr>
          <w:rFonts w:ascii="Times New Roman" w:hAnsi="Times New Roman" w:cs="Times New Roman"/>
        </w:rPr>
        <w:t xml:space="preserve">in </w:t>
      </w:r>
      <w:r w:rsidR="000E7CF7">
        <w:rPr>
          <w:rFonts w:ascii="Times New Roman" w:hAnsi="Times New Roman" w:cs="Times New Roman"/>
        </w:rPr>
        <w:t xml:space="preserve">both geographical and temporal – covering </w:t>
      </w:r>
      <w:r>
        <w:rPr>
          <w:rFonts w:ascii="Times New Roman" w:hAnsi="Times New Roman" w:cs="Times New Roman"/>
        </w:rPr>
        <w:t>five continents and almost three thousand years of history</w:t>
      </w:r>
      <w:r w:rsidR="000E7CF7">
        <w:rPr>
          <w:rFonts w:ascii="Times New Roman" w:hAnsi="Times New Roman" w:cs="Times New Roman"/>
        </w:rPr>
        <w:t xml:space="preserve"> – as well as methodological </w:t>
      </w:r>
      <w:r w:rsidR="00B50A1B">
        <w:rPr>
          <w:rFonts w:ascii="Times New Roman" w:hAnsi="Times New Roman" w:cs="Times New Roman"/>
        </w:rPr>
        <w:t xml:space="preserve">respects </w:t>
      </w:r>
      <w:r w:rsidR="000E7CF7">
        <w:rPr>
          <w:rFonts w:ascii="Times New Roman" w:hAnsi="Times New Roman" w:cs="Times New Roman"/>
        </w:rPr>
        <w:t xml:space="preserve">– encompassing </w:t>
      </w:r>
      <w:r w:rsidR="00B02895">
        <w:rPr>
          <w:rFonts w:ascii="Times New Roman" w:hAnsi="Times New Roman" w:cs="Times New Roman"/>
        </w:rPr>
        <w:t>historical, legal, art historical, philological, epigraphic, literary, archaeological</w:t>
      </w:r>
      <w:r w:rsidR="000E7CF7">
        <w:rPr>
          <w:rFonts w:ascii="Times New Roman" w:hAnsi="Times New Roman" w:cs="Times New Roman"/>
        </w:rPr>
        <w:t>, and anthropological</w:t>
      </w:r>
      <w:r>
        <w:rPr>
          <w:rFonts w:ascii="Times New Roman" w:hAnsi="Times New Roman" w:cs="Times New Roman"/>
        </w:rPr>
        <w:t xml:space="preserve"> </w:t>
      </w:r>
      <w:r w:rsidR="00E12F99">
        <w:rPr>
          <w:rFonts w:ascii="Times New Roman" w:hAnsi="Times New Roman" w:cs="Times New Roman"/>
        </w:rPr>
        <w:t>approaches</w:t>
      </w:r>
      <w:r w:rsidR="000E7CF7">
        <w:rPr>
          <w:rFonts w:ascii="Times New Roman" w:hAnsi="Times New Roman" w:cs="Times New Roman"/>
        </w:rPr>
        <w:t xml:space="preserve"> to the premodern world – </w:t>
      </w:r>
      <w:r w:rsidR="00B50A1B">
        <w:rPr>
          <w:rFonts w:ascii="Times New Roman" w:hAnsi="Times New Roman" w:cs="Times New Roman"/>
        </w:rPr>
        <w:t xml:space="preserve">there was nonetheless a productive cross-fertilization and a broad conceptual coherence </w:t>
      </w:r>
      <w:r w:rsidR="000E7CF7">
        <w:rPr>
          <w:rFonts w:ascii="Times New Roman" w:hAnsi="Times New Roman" w:cs="Times New Roman"/>
        </w:rPr>
        <w:t xml:space="preserve">is, we think, </w:t>
      </w:r>
      <w:r w:rsidR="00B50A1B">
        <w:rPr>
          <w:rFonts w:ascii="Times New Roman" w:hAnsi="Times New Roman" w:cs="Times New Roman"/>
        </w:rPr>
        <w:t xml:space="preserve">a vivid testament to the importance and potential of the interdisciplinary goals of the YISAP initiative.  We are very grateful to the Whitney Humanities Center for supporting this research, and the achievement of these goals in the academic year 2015-16.  Below are abstracts of the research projects undertaken by our nine students. </w:t>
      </w:r>
    </w:p>
    <w:p w14:paraId="101CA983" w14:textId="77777777" w:rsidR="005B1499" w:rsidRDefault="005B1499" w:rsidP="00711AC8">
      <w:pPr>
        <w:rPr>
          <w:rFonts w:ascii="Times New Roman" w:hAnsi="Times New Roman" w:cs="Times New Roman"/>
        </w:rPr>
      </w:pPr>
    </w:p>
    <w:p w14:paraId="41C844D4" w14:textId="77777777" w:rsidR="00145EE4" w:rsidRDefault="00145EE4" w:rsidP="00711AC8">
      <w:pPr>
        <w:rPr>
          <w:rFonts w:ascii="Times New Roman" w:hAnsi="Times New Roman" w:cs="Times New Roman"/>
        </w:rPr>
      </w:pPr>
    </w:p>
    <w:p w14:paraId="5F1D874E" w14:textId="77777777" w:rsidR="00A17A70" w:rsidRDefault="00A17A70" w:rsidP="00711AC8">
      <w:pPr>
        <w:rPr>
          <w:rFonts w:ascii="Times New Roman" w:hAnsi="Times New Roman" w:cs="Times New Roman"/>
        </w:rPr>
      </w:pPr>
    </w:p>
    <w:p w14:paraId="0ADCB566" w14:textId="77777777" w:rsidR="00A17A70" w:rsidRDefault="00A17A70" w:rsidP="00711AC8">
      <w:pPr>
        <w:rPr>
          <w:rFonts w:ascii="Times New Roman" w:hAnsi="Times New Roman" w:cs="Times New Roman"/>
        </w:rPr>
      </w:pPr>
    </w:p>
    <w:p w14:paraId="5027B969" w14:textId="77777777" w:rsidR="00A17A70" w:rsidRDefault="00A17A70" w:rsidP="00711AC8">
      <w:pPr>
        <w:rPr>
          <w:rFonts w:ascii="Times New Roman" w:hAnsi="Times New Roman" w:cs="Times New Roman"/>
        </w:rPr>
      </w:pPr>
    </w:p>
    <w:p w14:paraId="1F00C331" w14:textId="77777777" w:rsidR="00A17A70" w:rsidRDefault="00A17A70" w:rsidP="00711AC8">
      <w:pPr>
        <w:rPr>
          <w:rFonts w:ascii="Times New Roman" w:hAnsi="Times New Roman" w:cs="Times New Roman"/>
        </w:rPr>
      </w:pPr>
    </w:p>
    <w:p w14:paraId="7B4D04AA" w14:textId="77777777" w:rsidR="00A17A70" w:rsidRDefault="00A17A70" w:rsidP="00711AC8">
      <w:pPr>
        <w:rPr>
          <w:rFonts w:ascii="Times New Roman" w:hAnsi="Times New Roman" w:cs="Times New Roman"/>
        </w:rPr>
      </w:pPr>
    </w:p>
    <w:p w14:paraId="54B8F41A" w14:textId="77777777" w:rsidR="00A17A70" w:rsidRDefault="00A17A70" w:rsidP="00711AC8">
      <w:pPr>
        <w:rPr>
          <w:rFonts w:ascii="Times New Roman" w:hAnsi="Times New Roman" w:cs="Times New Roman"/>
        </w:rPr>
      </w:pPr>
      <w:bookmarkStart w:id="0" w:name="_GoBack"/>
      <w:bookmarkEnd w:id="0"/>
    </w:p>
    <w:p w14:paraId="369FB618" w14:textId="78B74503" w:rsidR="005B1499" w:rsidRPr="00597659" w:rsidRDefault="005B1499" w:rsidP="00711AC8">
      <w:pPr>
        <w:rPr>
          <w:rFonts w:ascii="Times New Roman" w:hAnsi="Times New Roman" w:cs="Times New Roman"/>
          <w:smallCaps/>
        </w:rPr>
      </w:pPr>
      <w:r w:rsidRPr="00597659">
        <w:rPr>
          <w:rFonts w:ascii="Times New Roman" w:hAnsi="Times New Roman" w:cs="Times New Roman"/>
          <w:smallCaps/>
        </w:rPr>
        <w:t>Lester Stephens</w:t>
      </w:r>
    </w:p>
    <w:p w14:paraId="281996B4" w14:textId="77777777" w:rsidR="005B1499" w:rsidRDefault="005B1499" w:rsidP="00711AC8">
      <w:pPr>
        <w:rPr>
          <w:rFonts w:ascii="Times New Roman" w:hAnsi="Times New Roman" w:cs="Times New Roman"/>
        </w:rPr>
      </w:pPr>
    </w:p>
    <w:p w14:paraId="665C880F" w14:textId="06DC8AF5" w:rsidR="00037172" w:rsidRDefault="00037172" w:rsidP="00037172">
      <w:pPr>
        <w:jc w:val="center"/>
        <w:rPr>
          <w:rFonts w:ascii="Times New Roman" w:hAnsi="Times New Roman" w:cs="Times New Roman"/>
        </w:rPr>
      </w:pPr>
      <w:r>
        <w:rPr>
          <w:rFonts w:ascii="Times New Roman" w:hAnsi="Times New Roman" w:cs="Times New Roman"/>
        </w:rPr>
        <w:t>Problematizing Resistance in Imperial Rome: A Concise Lexical and Historical Analysis of Opposition to Rome as Channeled through a Roman Conceptual Framework</w:t>
      </w:r>
    </w:p>
    <w:p w14:paraId="6EEFFC33" w14:textId="77777777" w:rsidR="00037172" w:rsidRDefault="00037172" w:rsidP="00037172">
      <w:pPr>
        <w:jc w:val="center"/>
        <w:rPr>
          <w:rFonts w:ascii="Times New Roman" w:hAnsi="Times New Roman" w:cs="Times New Roman"/>
        </w:rPr>
      </w:pPr>
    </w:p>
    <w:p w14:paraId="07AB28CB" w14:textId="0FD1C9B5" w:rsidR="00037172" w:rsidRDefault="00037172" w:rsidP="00037172">
      <w:pPr>
        <w:ind w:firstLine="720"/>
        <w:rPr>
          <w:rFonts w:ascii="Times New Roman" w:hAnsi="Times New Roman" w:cs="Times New Roman"/>
        </w:rPr>
      </w:pPr>
      <w:r>
        <w:rPr>
          <w:rFonts w:ascii="Times New Roman" w:hAnsi="Times New Roman" w:cs="Times New Roman"/>
        </w:rPr>
        <w:t xml:space="preserve">This study examines resistance in imperial Rome from a lexical and historical standpoint, and investigates the notion of resistance as a means to understand how Romans would have conceptualized the phenomenon vis-à-vis contexts which preclude broad applications of resistance from a modern standpoint.  An expanded window is provided into the Roman mind, which suggests flexibility and perceptional scales of opposition whose spectrum contains bona fide modes of resistance concomitant with an administrative backdrop that is structured to absorb tolerable levels of defiance.  Historical anecdotes from ancient authors provide the lexical and contextual examples from which to derive insights concerning resistance, and modern scholarship is engaged with a view to establishing a broad canvas of viewpoints from which to hone insights and conclusions within the study.  The current state of scholarship on the topic of resistance has provided cogent analyses of resistance in an attempt to grasp a sense of Roman motivations for actions.  This study goes beyond the current approaches and problematizes the notion of resistance itself, as opposed to shifting terms between contexts and determining suitable applications and appropriate extents of range for each.  Although concise in nature, the results from this investigation stand poised for development into a larger project that takes in more </w:t>
      </w:r>
      <w:r>
        <w:rPr>
          <w:rFonts w:ascii="Times New Roman" w:hAnsi="Times New Roman" w:cs="Times New Roman"/>
          <w:i/>
        </w:rPr>
        <w:t xml:space="preserve">comparanda </w:t>
      </w:r>
      <w:r>
        <w:rPr>
          <w:rFonts w:ascii="Times New Roman" w:hAnsi="Times New Roman" w:cs="Times New Roman"/>
        </w:rPr>
        <w:t>than was feasible for the size of the current treatment.  Nevertheless, the methodological approach to resistance in this work has yielded what one can only hope will advance the scholarly discussion of the topic.</w:t>
      </w:r>
    </w:p>
    <w:p w14:paraId="4C489563" w14:textId="77777777" w:rsidR="00037172" w:rsidRDefault="00037172" w:rsidP="00037172">
      <w:pPr>
        <w:rPr>
          <w:rFonts w:ascii="Times New Roman" w:hAnsi="Times New Roman" w:cs="Times New Roman"/>
        </w:rPr>
      </w:pPr>
    </w:p>
    <w:p w14:paraId="55048969" w14:textId="77777777" w:rsidR="00037172" w:rsidRDefault="00037172" w:rsidP="00037172">
      <w:pPr>
        <w:rPr>
          <w:rFonts w:ascii="Times New Roman" w:hAnsi="Times New Roman" w:cs="Times New Roman"/>
        </w:rPr>
      </w:pPr>
    </w:p>
    <w:p w14:paraId="55CB94DF" w14:textId="7E1B0DDE" w:rsidR="00037172" w:rsidRPr="00597659" w:rsidRDefault="005B1499" w:rsidP="00711AC8">
      <w:pPr>
        <w:rPr>
          <w:rFonts w:ascii="Times New Roman" w:hAnsi="Times New Roman" w:cs="Times New Roman"/>
          <w:smallCaps/>
        </w:rPr>
      </w:pPr>
      <w:r w:rsidRPr="00597659">
        <w:rPr>
          <w:rFonts w:ascii="Times New Roman" w:hAnsi="Times New Roman" w:cs="Times New Roman"/>
          <w:smallCaps/>
        </w:rPr>
        <w:t>Grant Gabriel</w:t>
      </w:r>
    </w:p>
    <w:p w14:paraId="7C6DB861" w14:textId="77777777" w:rsidR="00037172" w:rsidRDefault="00037172" w:rsidP="00711AC8">
      <w:pPr>
        <w:rPr>
          <w:rFonts w:ascii="Times New Roman" w:hAnsi="Times New Roman" w:cs="Times New Roman"/>
        </w:rPr>
      </w:pPr>
    </w:p>
    <w:p w14:paraId="18476364" w14:textId="05BCBA70" w:rsidR="00037172" w:rsidRDefault="00037172" w:rsidP="00037172">
      <w:pPr>
        <w:jc w:val="center"/>
        <w:rPr>
          <w:rFonts w:ascii="Times New Roman" w:hAnsi="Times New Roman" w:cs="Times New Roman"/>
        </w:rPr>
      </w:pPr>
      <w:r w:rsidRPr="00037172">
        <w:rPr>
          <w:rFonts w:ascii="Times New Roman" w:hAnsi="Times New Roman" w:cs="Times New Roman"/>
        </w:rPr>
        <w:t>The Final Frontier: Rome’s Legal American Provinces</w:t>
      </w:r>
    </w:p>
    <w:p w14:paraId="478708A3" w14:textId="77777777" w:rsidR="00037172" w:rsidRDefault="00037172" w:rsidP="00037172">
      <w:pPr>
        <w:jc w:val="center"/>
        <w:rPr>
          <w:rFonts w:ascii="Times New Roman" w:hAnsi="Times New Roman" w:cs="Times New Roman"/>
        </w:rPr>
      </w:pPr>
    </w:p>
    <w:p w14:paraId="2263399F" w14:textId="53A64B86" w:rsidR="00037172" w:rsidRPr="00037172" w:rsidRDefault="00037172" w:rsidP="00037172">
      <w:pPr>
        <w:ind w:firstLine="720"/>
        <w:rPr>
          <w:rFonts w:ascii="Times New Roman" w:hAnsi="Times New Roman" w:cs="Times New Roman"/>
        </w:rPr>
      </w:pPr>
      <w:r w:rsidRPr="00037172">
        <w:rPr>
          <w:rFonts w:ascii="Times New Roman" w:hAnsi="Times New Roman" w:cs="Times New Roman"/>
        </w:rPr>
        <w:t>This paper traces the descent and influence of Roman law on the North American colonial frontier. Roman law not only shaped colonial policy, its use transformed the colonizers. The paper demonstrates how the premodern world weighs heavily on the modern frontier. Its influence can be found in Canada, in Louisiana, in France. Such relationships are never linear; they are subject to bias, misinterpretation, and manipulation, but they are central to a more complete understanding of the dynamic between colonial center and colonized. Roman law facilitated central control and dominance while at the same time fostering a powerful, independent local legal identity.</w:t>
      </w:r>
    </w:p>
    <w:p w14:paraId="7FEB7717" w14:textId="77777777" w:rsidR="005B1499" w:rsidRDefault="005B1499" w:rsidP="00711AC8">
      <w:pPr>
        <w:rPr>
          <w:rFonts w:ascii="Times New Roman" w:hAnsi="Times New Roman" w:cs="Times New Roman"/>
        </w:rPr>
      </w:pPr>
    </w:p>
    <w:p w14:paraId="78509C05" w14:textId="77777777" w:rsidR="00597659" w:rsidRDefault="00597659" w:rsidP="00711AC8">
      <w:pPr>
        <w:rPr>
          <w:rFonts w:ascii="Times New Roman" w:hAnsi="Times New Roman" w:cs="Times New Roman"/>
        </w:rPr>
      </w:pPr>
    </w:p>
    <w:p w14:paraId="7269A5C2" w14:textId="24583922" w:rsidR="005B1499" w:rsidRPr="00597659" w:rsidRDefault="005B1499" w:rsidP="00711AC8">
      <w:pPr>
        <w:rPr>
          <w:rFonts w:ascii="Times New Roman" w:hAnsi="Times New Roman" w:cs="Times New Roman"/>
          <w:smallCaps/>
        </w:rPr>
      </w:pPr>
      <w:r w:rsidRPr="00597659">
        <w:rPr>
          <w:rFonts w:ascii="Times New Roman" w:hAnsi="Times New Roman" w:cs="Times New Roman"/>
          <w:smallCaps/>
        </w:rPr>
        <w:t>Lillian Sellati</w:t>
      </w:r>
    </w:p>
    <w:p w14:paraId="5A08F2D2" w14:textId="77777777" w:rsidR="005B1499" w:rsidRDefault="005B1499" w:rsidP="00711AC8">
      <w:pPr>
        <w:rPr>
          <w:rFonts w:ascii="Times New Roman" w:hAnsi="Times New Roman" w:cs="Times New Roman"/>
        </w:rPr>
      </w:pPr>
    </w:p>
    <w:p w14:paraId="7393A6C5" w14:textId="5ADC8286" w:rsidR="00037172" w:rsidRDefault="00037172" w:rsidP="00037172">
      <w:pPr>
        <w:jc w:val="center"/>
        <w:rPr>
          <w:rFonts w:ascii="Times New Roman" w:hAnsi="Times New Roman" w:cs="Times New Roman"/>
        </w:rPr>
      </w:pPr>
      <w:r>
        <w:rPr>
          <w:rFonts w:ascii="Times New Roman" w:hAnsi="Times New Roman" w:cs="Times New Roman"/>
        </w:rPr>
        <w:t>Interpreting the Obelisk of Antinous</w:t>
      </w:r>
    </w:p>
    <w:p w14:paraId="0271D678" w14:textId="77777777" w:rsidR="00037172" w:rsidRDefault="00037172" w:rsidP="00037172">
      <w:pPr>
        <w:jc w:val="center"/>
        <w:rPr>
          <w:rFonts w:ascii="Times New Roman" w:hAnsi="Times New Roman" w:cs="Times New Roman"/>
        </w:rPr>
      </w:pPr>
    </w:p>
    <w:p w14:paraId="33F38751" w14:textId="544EB959" w:rsidR="00037172" w:rsidRPr="00037172" w:rsidRDefault="00037172" w:rsidP="00037172">
      <w:pPr>
        <w:ind w:firstLine="720"/>
        <w:rPr>
          <w:rFonts w:ascii="Times New Roman" w:hAnsi="Times New Roman" w:cs="Times New Roman"/>
        </w:rPr>
      </w:pPr>
      <w:r w:rsidRPr="00037172">
        <w:rPr>
          <w:rFonts w:ascii="Times New Roman" w:hAnsi="Times New Roman" w:cs="Times New Roman"/>
        </w:rPr>
        <w:t>Scholars have long debated when the Obelisk of Antinous was originally commissioned and where it was erected.  This paper takes a set back from these arguments and instead considers what interpretations of the obelisk were available to viewers at each of t</w:t>
      </w:r>
      <w:r>
        <w:rPr>
          <w:rFonts w:ascii="Times New Roman" w:hAnsi="Times New Roman" w:cs="Times New Roman"/>
        </w:rPr>
        <w:t>he proposed sites (Rome, Tiv</w:t>
      </w:r>
      <w:r w:rsidRPr="00037172">
        <w:rPr>
          <w:rFonts w:ascii="Times New Roman" w:hAnsi="Times New Roman" w:cs="Times New Roman"/>
        </w:rPr>
        <w:t>o</w:t>
      </w:r>
      <w:r>
        <w:rPr>
          <w:rFonts w:ascii="Times New Roman" w:hAnsi="Times New Roman" w:cs="Times New Roman"/>
        </w:rPr>
        <w:t>l</w:t>
      </w:r>
      <w:r w:rsidRPr="00037172">
        <w:rPr>
          <w:rFonts w:ascii="Times New Roman" w:hAnsi="Times New Roman" w:cs="Times New Roman"/>
        </w:rPr>
        <w:t>i, and Antinoopolis).  The form and decoration of the obelisk drew on an extensive history of religious, political, and artistic interactions between Egypt, Greece, and Rome in order to communicate multiple socio-political statements simultaneously.  The messages that received the most emphasis would depend on the audiences’ relationship to that shared history.  For example, viewers in Antinoopolis would likely be inclined to see the obelisk as a symbol of Hadrian’s respect for Egyptian cultic traditions rather than as the symbol of Roman domination through military power which viewers in the city of Rome might favor.  This universal legibility is typical of the visual culture that the Emperor Hadrian designed to propagate and legitimize the new cult of Antinous.  It also confirms the overarching message that Hadrian wielded immense political and economic power would have been conveyed regardless of when or where the obelisk was viewed.</w:t>
      </w:r>
    </w:p>
    <w:p w14:paraId="2DAC2773" w14:textId="77777777" w:rsidR="00037172" w:rsidRDefault="00037172" w:rsidP="00711AC8">
      <w:pPr>
        <w:rPr>
          <w:rFonts w:ascii="Times New Roman" w:hAnsi="Times New Roman" w:cs="Times New Roman"/>
        </w:rPr>
      </w:pPr>
    </w:p>
    <w:p w14:paraId="351A97DA" w14:textId="77777777" w:rsidR="00597659" w:rsidRDefault="00597659" w:rsidP="00711AC8">
      <w:pPr>
        <w:rPr>
          <w:rFonts w:ascii="Times New Roman" w:hAnsi="Times New Roman" w:cs="Times New Roman"/>
        </w:rPr>
      </w:pPr>
    </w:p>
    <w:p w14:paraId="679494D5" w14:textId="1226A823" w:rsidR="005B1499" w:rsidRPr="00597659" w:rsidRDefault="005B1499" w:rsidP="00711AC8">
      <w:pPr>
        <w:rPr>
          <w:rFonts w:ascii="Times New Roman" w:hAnsi="Times New Roman" w:cs="Times New Roman"/>
          <w:smallCaps/>
        </w:rPr>
      </w:pPr>
      <w:r w:rsidRPr="00597659">
        <w:rPr>
          <w:rFonts w:ascii="Times New Roman" w:hAnsi="Times New Roman" w:cs="Times New Roman"/>
          <w:smallCaps/>
        </w:rPr>
        <w:t>Ryan Mitchell</w:t>
      </w:r>
    </w:p>
    <w:p w14:paraId="2E6A5B21" w14:textId="77777777" w:rsidR="00597659" w:rsidRDefault="00597659" w:rsidP="00711AC8">
      <w:pPr>
        <w:rPr>
          <w:rFonts w:ascii="Times New Roman" w:hAnsi="Times New Roman" w:cs="Times New Roman"/>
        </w:rPr>
      </w:pPr>
    </w:p>
    <w:p w14:paraId="6E2B6311" w14:textId="77777777" w:rsidR="00597659" w:rsidRPr="00597659" w:rsidRDefault="00597659" w:rsidP="00597659">
      <w:pPr>
        <w:jc w:val="center"/>
        <w:rPr>
          <w:rFonts w:ascii="Times New Roman" w:hAnsi="Times New Roman" w:cs="Times New Roman"/>
        </w:rPr>
      </w:pPr>
      <w:r w:rsidRPr="00597659">
        <w:rPr>
          <w:rFonts w:ascii="Times New Roman" w:hAnsi="Times New Roman" w:cs="Times New Roman"/>
        </w:rPr>
        <w:t>Contingent Vocabularies of Sovereignty: Imagining (and Arguing Over) Territorial Authority in China and the West</w:t>
      </w:r>
    </w:p>
    <w:p w14:paraId="4136CB8B" w14:textId="77777777" w:rsidR="00597659" w:rsidRDefault="00597659" w:rsidP="00711AC8">
      <w:pPr>
        <w:rPr>
          <w:rFonts w:ascii="Times New Roman" w:hAnsi="Times New Roman" w:cs="Times New Roman"/>
        </w:rPr>
      </w:pPr>
    </w:p>
    <w:p w14:paraId="4A1E9428" w14:textId="2AE1D7A5" w:rsidR="005B1499" w:rsidRPr="00597659" w:rsidRDefault="00597659" w:rsidP="00597659">
      <w:pPr>
        <w:ind w:firstLine="720"/>
        <w:rPr>
          <w:rFonts w:ascii="Times New Roman" w:hAnsi="Times New Roman" w:cs="Times New Roman"/>
        </w:rPr>
      </w:pPr>
      <w:r w:rsidRPr="00597659">
        <w:rPr>
          <w:rFonts w:ascii="Times New Roman" w:hAnsi="Times New Roman" w:cs="Times New Roman"/>
        </w:rPr>
        <w:t xml:space="preserve">A focus on sub- and transnational identities in the social sciences has helped to illuminate the extent to which the nation functions as a “false unity” reliant upon favoring some narratives and suppressing others. International law, however, often continues to see itself as the kind of “transparent medium of understanding” that the nation per se no longer constitutes. In particular, the principles of territorial sovereignty and self-determination of peoples are often taken to be neutral descriptions of reality when they are in fact contingent ideas dependent upon specific political settings and intellectual-historical </w:t>
      </w:r>
      <w:r w:rsidRPr="00597659">
        <w:rPr>
          <w:rFonts w:ascii="Times New Roman" w:hAnsi="Times New Roman" w:cs="Times New Roman"/>
          <w:i/>
        </w:rPr>
        <w:t>milieux</w:t>
      </w:r>
      <w:r w:rsidRPr="00597659">
        <w:rPr>
          <w:rFonts w:ascii="Times New Roman" w:hAnsi="Times New Roman" w:cs="Times New Roman"/>
        </w:rPr>
        <w:t xml:space="preserve">.  A closer examination of the origins of both the European and Chinese conceptions of territorial sovereignty, particularly as regards their use as rationales for political administration and the suppression of non-state identities, illustrates the above dynamic. As shown in this paper, both European and Chinese conceptions of sovereignty relied on notional “centers” and “peripheries” by means of which those groups, lands, and individuals outside of the sphere of sovereign administration were reduced to the status of “frontiers” – </w:t>
      </w:r>
      <w:r w:rsidRPr="00597659">
        <w:rPr>
          <w:rFonts w:ascii="Times New Roman" w:hAnsi="Times New Roman" w:cs="Times New Roman"/>
          <w:i/>
        </w:rPr>
        <w:t>objects of</w:t>
      </w:r>
      <w:r w:rsidRPr="00597659">
        <w:rPr>
          <w:rFonts w:ascii="Times New Roman" w:hAnsi="Times New Roman" w:cs="Times New Roman"/>
        </w:rPr>
        <w:t xml:space="preserve"> rather than </w:t>
      </w:r>
      <w:r w:rsidRPr="00597659">
        <w:rPr>
          <w:rFonts w:ascii="Times New Roman" w:hAnsi="Times New Roman" w:cs="Times New Roman"/>
          <w:i/>
        </w:rPr>
        <w:t>participants in</w:t>
      </w:r>
      <w:r w:rsidRPr="00597659">
        <w:rPr>
          <w:rFonts w:ascii="Times New Roman" w:hAnsi="Times New Roman" w:cs="Times New Roman"/>
        </w:rPr>
        <w:t xml:space="preserve"> – the development of juridico-political regimes. China’s interstate disputes today often continue the clash between these two provincial legal vocabularies.</w:t>
      </w:r>
    </w:p>
    <w:p w14:paraId="11847FA3" w14:textId="77777777" w:rsidR="00597659" w:rsidRDefault="00597659" w:rsidP="00711AC8">
      <w:pPr>
        <w:rPr>
          <w:rFonts w:ascii="Times New Roman" w:hAnsi="Times New Roman" w:cs="Times New Roman"/>
        </w:rPr>
      </w:pPr>
    </w:p>
    <w:p w14:paraId="291EAACB" w14:textId="77777777" w:rsidR="00DE482D" w:rsidRDefault="00DE482D" w:rsidP="00711AC8">
      <w:pPr>
        <w:rPr>
          <w:rFonts w:ascii="Times New Roman" w:hAnsi="Times New Roman" w:cs="Times New Roman"/>
        </w:rPr>
      </w:pPr>
    </w:p>
    <w:p w14:paraId="700D05E0" w14:textId="4452F62E" w:rsidR="005B1499" w:rsidRPr="00DE482D" w:rsidRDefault="005B1499" w:rsidP="00711AC8">
      <w:pPr>
        <w:rPr>
          <w:rFonts w:ascii="Times New Roman" w:hAnsi="Times New Roman" w:cs="Times New Roman"/>
          <w:smallCaps/>
        </w:rPr>
      </w:pPr>
      <w:r w:rsidRPr="00DE482D">
        <w:rPr>
          <w:rFonts w:ascii="Times New Roman" w:hAnsi="Times New Roman" w:cs="Times New Roman"/>
          <w:smallCaps/>
        </w:rPr>
        <w:t>Asia Del Bonis-O’Donnell</w:t>
      </w:r>
    </w:p>
    <w:p w14:paraId="188AEA84" w14:textId="77777777" w:rsidR="00DE482D" w:rsidRDefault="00DE482D" w:rsidP="00711AC8">
      <w:pPr>
        <w:rPr>
          <w:rFonts w:ascii="Times New Roman" w:hAnsi="Times New Roman" w:cs="Times New Roman"/>
        </w:rPr>
      </w:pPr>
    </w:p>
    <w:p w14:paraId="329ABB2D" w14:textId="77777777" w:rsidR="00DE482D" w:rsidRPr="00DE482D" w:rsidRDefault="00DE482D" w:rsidP="00DE482D">
      <w:pPr>
        <w:jc w:val="center"/>
        <w:rPr>
          <w:rFonts w:ascii="Times New Roman" w:hAnsi="Times New Roman" w:cs="Times New Roman"/>
        </w:rPr>
      </w:pPr>
      <w:r w:rsidRPr="00DE482D">
        <w:rPr>
          <w:rFonts w:ascii="Times New Roman" w:hAnsi="Times New Roman" w:cs="Times New Roman"/>
        </w:rPr>
        <w:t>A Center-Periphery Seesaw:</w:t>
      </w:r>
    </w:p>
    <w:p w14:paraId="24538958" w14:textId="750B69F6" w:rsidR="00DE482D" w:rsidRPr="00DE482D" w:rsidRDefault="00DE482D" w:rsidP="00DE482D">
      <w:pPr>
        <w:jc w:val="center"/>
        <w:rPr>
          <w:rFonts w:ascii="Times New Roman" w:hAnsi="Times New Roman" w:cs="Times New Roman"/>
        </w:rPr>
      </w:pPr>
      <w:r w:rsidRPr="00DE482D">
        <w:rPr>
          <w:rFonts w:ascii="Times New Roman" w:hAnsi="Times New Roman" w:cs="Times New Roman"/>
        </w:rPr>
        <w:t>Perceptions of Sicily in Archaic and Early Classical Greece</w:t>
      </w:r>
    </w:p>
    <w:p w14:paraId="70B8A468" w14:textId="77777777" w:rsidR="00DE482D" w:rsidRDefault="00DE482D" w:rsidP="00DE482D">
      <w:pPr>
        <w:jc w:val="center"/>
      </w:pPr>
    </w:p>
    <w:p w14:paraId="76881467" w14:textId="5D839F8A" w:rsidR="00DE482D" w:rsidRPr="00DE482D" w:rsidRDefault="00DE482D" w:rsidP="00DE482D">
      <w:pPr>
        <w:ind w:firstLine="720"/>
        <w:rPr>
          <w:rFonts w:ascii="Times New Roman" w:hAnsi="Times New Roman" w:cs="Times New Roman"/>
        </w:rPr>
      </w:pPr>
      <w:r w:rsidRPr="00DE482D">
        <w:rPr>
          <w:rFonts w:ascii="Times New Roman" w:hAnsi="Times New Roman" w:cs="Times New Roman"/>
        </w:rPr>
        <w:t>This paper uses the center-periphery model to analyze the Greek understanding of Sicily and the place the island occupies in the wider Mediterranean world. Acknowledging that this metaphorical relationship can be categorized spatially as well as conceptually, involving human attitude and perception, literary and archaeological sources are evaluated for what they imply about mythological and historical thought about the island. Evidence from the 8</w:t>
      </w:r>
      <w:r w:rsidRPr="00DE482D">
        <w:rPr>
          <w:rFonts w:ascii="Times New Roman" w:hAnsi="Times New Roman" w:cs="Times New Roman"/>
          <w:vertAlign w:val="superscript"/>
        </w:rPr>
        <w:t>th</w:t>
      </w:r>
      <w:r w:rsidRPr="00DE482D">
        <w:rPr>
          <w:rFonts w:ascii="Times New Roman" w:hAnsi="Times New Roman" w:cs="Times New Roman"/>
        </w:rPr>
        <w:t xml:space="preserve"> through 5</w:t>
      </w:r>
      <w:r w:rsidRPr="00DE482D">
        <w:rPr>
          <w:rFonts w:ascii="Times New Roman" w:hAnsi="Times New Roman" w:cs="Times New Roman"/>
          <w:vertAlign w:val="superscript"/>
        </w:rPr>
        <w:t>th</w:t>
      </w:r>
      <w:r w:rsidRPr="00DE482D">
        <w:rPr>
          <w:rFonts w:ascii="Times New Roman" w:hAnsi="Times New Roman" w:cs="Times New Roman"/>
        </w:rPr>
        <w:t xml:space="preserve"> centuries B.C. exemplifies notions of Sicily as both center and periphery; sometimes the two ideas are simultaneously implied. Socio-political contexts of these testimonia provide further support for why these shifting perceptions might be occurring. Ultimately, the interconnectedness of center-periphery and civilized-barbarian dichotomies are found to contribute to these seemingly mixed attitudes of Sicily’s cohesion with mainland Greece.</w:t>
      </w:r>
    </w:p>
    <w:p w14:paraId="30C6590C" w14:textId="77777777" w:rsidR="005B1499" w:rsidRDefault="005B1499" w:rsidP="00711AC8">
      <w:pPr>
        <w:rPr>
          <w:rFonts w:ascii="Times New Roman" w:hAnsi="Times New Roman" w:cs="Times New Roman"/>
        </w:rPr>
      </w:pPr>
    </w:p>
    <w:p w14:paraId="58D6CFA5" w14:textId="77777777" w:rsidR="00DE482D" w:rsidRDefault="00DE482D" w:rsidP="00711AC8">
      <w:pPr>
        <w:rPr>
          <w:rFonts w:ascii="Times New Roman" w:hAnsi="Times New Roman" w:cs="Times New Roman"/>
        </w:rPr>
      </w:pPr>
    </w:p>
    <w:p w14:paraId="0FEFC046" w14:textId="77777777" w:rsidR="000936E1" w:rsidRDefault="000936E1" w:rsidP="00711AC8">
      <w:pPr>
        <w:rPr>
          <w:rFonts w:ascii="Times New Roman" w:hAnsi="Times New Roman" w:cs="Times New Roman"/>
        </w:rPr>
      </w:pPr>
    </w:p>
    <w:p w14:paraId="3DBB0DDD" w14:textId="121BFE04" w:rsidR="005B1499" w:rsidRPr="00D21FDE" w:rsidRDefault="005B1499" w:rsidP="00711AC8">
      <w:pPr>
        <w:rPr>
          <w:rFonts w:ascii="Times New Roman" w:hAnsi="Times New Roman" w:cs="Times New Roman"/>
          <w:smallCaps/>
        </w:rPr>
      </w:pPr>
      <w:r w:rsidRPr="00D21FDE">
        <w:rPr>
          <w:rFonts w:ascii="Times New Roman" w:hAnsi="Times New Roman" w:cs="Times New Roman"/>
          <w:smallCaps/>
        </w:rPr>
        <w:t>Jocelyn Burney</w:t>
      </w:r>
    </w:p>
    <w:p w14:paraId="43E8DC49" w14:textId="77777777" w:rsidR="00DE482D" w:rsidRDefault="00DE482D" w:rsidP="00711AC8">
      <w:pPr>
        <w:rPr>
          <w:rFonts w:ascii="Times New Roman" w:hAnsi="Times New Roman" w:cs="Times New Roman"/>
        </w:rPr>
      </w:pPr>
    </w:p>
    <w:p w14:paraId="3C6BDE76" w14:textId="307FE486" w:rsidR="00DE482D" w:rsidRPr="00DE482D" w:rsidRDefault="00DE482D" w:rsidP="00DE482D">
      <w:pPr>
        <w:jc w:val="center"/>
        <w:rPr>
          <w:rFonts w:ascii="Times New Roman" w:hAnsi="Times New Roman" w:cs="Times New Roman"/>
        </w:rPr>
      </w:pPr>
      <w:r w:rsidRPr="00DE482D">
        <w:rPr>
          <w:rFonts w:ascii="Times New Roman" w:hAnsi="Times New Roman" w:cs="Times New Roman"/>
        </w:rPr>
        <w:t>“For the whole inhabitable world, be sure, lies before you”:</w:t>
      </w:r>
    </w:p>
    <w:p w14:paraId="11421DDA" w14:textId="77777777" w:rsidR="00DE482D" w:rsidRPr="00DE482D" w:rsidRDefault="00DE482D" w:rsidP="00DE482D">
      <w:pPr>
        <w:jc w:val="center"/>
        <w:rPr>
          <w:rFonts w:ascii="Times New Roman" w:hAnsi="Times New Roman" w:cs="Times New Roman"/>
        </w:rPr>
      </w:pPr>
      <w:r w:rsidRPr="00DE482D">
        <w:rPr>
          <w:rFonts w:ascii="Times New Roman" w:hAnsi="Times New Roman" w:cs="Times New Roman"/>
        </w:rPr>
        <w:t>Land, Boundary, and Identity Through the Lens of the Rehov Synagogue Inscription</w:t>
      </w:r>
    </w:p>
    <w:p w14:paraId="5757B336" w14:textId="77777777" w:rsidR="00DE482D" w:rsidRDefault="00DE482D" w:rsidP="00711AC8">
      <w:pPr>
        <w:rPr>
          <w:rFonts w:ascii="Times New Roman" w:hAnsi="Times New Roman" w:cs="Times New Roman"/>
        </w:rPr>
      </w:pPr>
    </w:p>
    <w:p w14:paraId="4C0FB83E" w14:textId="740E84E8" w:rsidR="005B1499" w:rsidRPr="00DE482D" w:rsidRDefault="00DE482D" w:rsidP="00711AC8">
      <w:pPr>
        <w:rPr>
          <w:rFonts w:ascii="Times New Roman" w:hAnsi="Times New Roman" w:cs="Times New Roman"/>
        </w:rPr>
      </w:pPr>
      <w:r w:rsidRPr="00DE482D">
        <w:rPr>
          <w:rFonts w:ascii="Times New Roman" w:hAnsi="Times New Roman" w:cs="Times New Roman"/>
        </w:rPr>
        <w:tab/>
      </w:r>
      <w:r w:rsidRPr="00DE482D">
        <w:rPr>
          <w:rFonts w:ascii="Times New Roman" w:hAnsi="Times New Roman" w:cs="Times New Roman"/>
        </w:rPr>
        <w:t>In this paper, I examine a 6</w:t>
      </w:r>
      <w:r w:rsidRPr="00DE482D">
        <w:rPr>
          <w:rFonts w:ascii="Times New Roman" w:hAnsi="Times New Roman" w:cs="Times New Roman"/>
          <w:vertAlign w:val="superscript"/>
        </w:rPr>
        <w:t>th</w:t>
      </w:r>
      <w:r w:rsidRPr="00DE482D">
        <w:rPr>
          <w:rFonts w:ascii="Times New Roman" w:hAnsi="Times New Roman" w:cs="Times New Roman"/>
        </w:rPr>
        <w:t>-7</w:t>
      </w:r>
      <w:r w:rsidRPr="00DE482D">
        <w:rPr>
          <w:rFonts w:ascii="Times New Roman" w:hAnsi="Times New Roman" w:cs="Times New Roman"/>
          <w:vertAlign w:val="superscript"/>
        </w:rPr>
        <w:t>th</w:t>
      </w:r>
      <w:r w:rsidRPr="00DE482D">
        <w:rPr>
          <w:rFonts w:ascii="Times New Roman" w:hAnsi="Times New Roman" w:cs="Times New Roman"/>
        </w:rPr>
        <w:t xml:space="preserve"> century CE inscription from the narthex of the ancient synagogue at Rehov, Israel, approximately 7 km south of Beth-She’an. The inscription consists of quotations from rabbinic literature concerning the laws of agricultural tithing and sabbatical years (laws that apply to the land of Israel but not the diaspora), including a passage from the Palestinian Talmud that outlines the boundaries of the land of Israel. I analyze the historical and theological background of agricultural tithing, as well as primary texts dealing with the relationship between the land of Israel and the diaspora in late antiquity in order to argue that the Rehov inscription should be viewed as a polemic against the growing importance of diaspora communities and the imposition of imperial boundaries on ancient Palestine.</w:t>
      </w:r>
    </w:p>
    <w:p w14:paraId="356EC897" w14:textId="77777777" w:rsidR="00DE482D" w:rsidRDefault="00DE482D" w:rsidP="00711AC8">
      <w:pPr>
        <w:rPr>
          <w:rFonts w:ascii="Times New Roman" w:hAnsi="Times New Roman" w:cs="Times New Roman"/>
        </w:rPr>
      </w:pPr>
    </w:p>
    <w:p w14:paraId="3AD3BCA9" w14:textId="77777777" w:rsidR="0006710C" w:rsidRDefault="0006710C" w:rsidP="00711AC8">
      <w:pPr>
        <w:rPr>
          <w:rFonts w:ascii="Times New Roman" w:hAnsi="Times New Roman" w:cs="Times New Roman"/>
        </w:rPr>
      </w:pPr>
    </w:p>
    <w:p w14:paraId="56EC8A9C" w14:textId="3317B5E1" w:rsidR="005B1499" w:rsidRPr="00717B03" w:rsidRDefault="005B1499" w:rsidP="00711AC8">
      <w:pPr>
        <w:rPr>
          <w:rFonts w:ascii="Times New Roman" w:hAnsi="Times New Roman" w:cs="Times New Roman"/>
          <w:smallCaps/>
        </w:rPr>
      </w:pPr>
      <w:r w:rsidRPr="00717B03">
        <w:rPr>
          <w:rFonts w:ascii="Times New Roman" w:hAnsi="Times New Roman" w:cs="Times New Roman"/>
          <w:smallCaps/>
        </w:rPr>
        <w:t>Marc Cugnon</w:t>
      </w:r>
    </w:p>
    <w:p w14:paraId="02F8FD62" w14:textId="77777777" w:rsidR="00892570" w:rsidRDefault="00892570" w:rsidP="00711AC8">
      <w:pPr>
        <w:rPr>
          <w:rFonts w:ascii="Times New Roman" w:hAnsi="Times New Roman" w:cs="Times New Roman"/>
        </w:rPr>
      </w:pPr>
    </w:p>
    <w:p w14:paraId="251D4004" w14:textId="5FCBBB61" w:rsidR="00892570" w:rsidRPr="007603CC" w:rsidRDefault="007603CC" w:rsidP="00892570">
      <w:pPr>
        <w:jc w:val="center"/>
        <w:rPr>
          <w:rFonts w:ascii="Times New Roman" w:hAnsi="Times New Roman" w:cs="Times New Roman"/>
          <w:sz w:val="22"/>
        </w:rPr>
      </w:pPr>
      <w:r w:rsidRPr="007603CC">
        <w:rPr>
          <w:rFonts w:ascii="Times New Roman" w:hAnsi="Times New Roman" w:cs="Times New Roman"/>
        </w:rPr>
        <w:t>The Question of Romanization: Uncovering Gallo-Roman Culture</w:t>
      </w:r>
    </w:p>
    <w:p w14:paraId="6E2DA1C2" w14:textId="77777777" w:rsidR="00892570" w:rsidRDefault="00892570" w:rsidP="00892570">
      <w:pPr>
        <w:rPr>
          <w:rFonts w:ascii="Times New Roman" w:hAnsi="Times New Roman" w:cs="Times New Roman"/>
        </w:rPr>
      </w:pPr>
    </w:p>
    <w:p w14:paraId="16892559" w14:textId="5D27322E" w:rsidR="00C90964" w:rsidRPr="00321E09" w:rsidRDefault="00C90964" w:rsidP="00C90964">
      <w:pPr>
        <w:ind w:firstLine="720"/>
        <w:rPr>
          <w:rFonts w:ascii="Times New Roman" w:hAnsi="Times New Roman" w:cs="Times New Roman"/>
        </w:rPr>
      </w:pPr>
      <w:r w:rsidRPr="00321E09">
        <w:rPr>
          <w:rFonts w:ascii="Times New Roman" w:hAnsi="Times New Roman" w:cs="Times New Roman"/>
        </w:rPr>
        <w:t>In many respects, Roman Gaul was a microcosm of the empire at large. This culturally diverse and ethnically disparate land represented a new frontier for social interactions between Romans and the various Gallic tribes that inhabited it.  As the Romans and Gauls interfaced and collaborated to greater and greater degrees, new identities were forged as two seemingly divergent cultures began to exchange ideas with one another. To label the adoption of Roman traditions in Gaul and view the cross-cultural exchange that occurred within the province as “Romanization” does a tremendous disservice to our understanding of the complexities behind these provincial interactions. Roman Gaul represented far more than just cultural inculcation. Instead, the province provided a new site for unique forms of art, agriculture, tradition and development. While the term “Romanization” provides a convenient catchall in describing how Gallic culture changed following Roman conquest, it fails to accurately reflect the depth and degree to which Gaul became a breeding ground for a new hybrid culture, featuring mixed societal hallmarks.</w:t>
      </w:r>
    </w:p>
    <w:p w14:paraId="266A756A" w14:textId="50384F85" w:rsidR="00C90964" w:rsidRPr="00321E09" w:rsidRDefault="00C90964" w:rsidP="00C90964">
      <w:pPr>
        <w:ind w:firstLine="720"/>
        <w:rPr>
          <w:rFonts w:ascii="Times New Roman" w:hAnsi="Times New Roman" w:cs="Times New Roman"/>
        </w:rPr>
      </w:pPr>
      <w:r w:rsidRPr="00321E09">
        <w:rPr>
          <w:rFonts w:ascii="Times New Roman" w:hAnsi="Times New Roman" w:cs="Times New Roman"/>
        </w:rPr>
        <w:t>T</w:t>
      </w:r>
      <w:r>
        <w:rPr>
          <w:rFonts w:ascii="Times New Roman" w:hAnsi="Times New Roman" w:cs="Times New Roman"/>
        </w:rPr>
        <w:t>his paper surveys the</w:t>
      </w:r>
      <w:r w:rsidRPr="00321E09">
        <w:rPr>
          <w:rFonts w:ascii="Times New Roman" w:hAnsi="Times New Roman" w:cs="Times New Roman"/>
        </w:rPr>
        <w:t xml:space="preserve"> various evidence – in the form of art, architecture, religion and customs – </w:t>
      </w:r>
      <w:r>
        <w:rPr>
          <w:rFonts w:ascii="Times New Roman" w:hAnsi="Times New Roman" w:cs="Times New Roman"/>
        </w:rPr>
        <w:t>and demonstrates that</w:t>
      </w:r>
      <w:r w:rsidRPr="00321E09">
        <w:rPr>
          <w:rFonts w:ascii="Times New Roman" w:hAnsi="Times New Roman" w:cs="Times New Roman"/>
        </w:rPr>
        <w:t xml:space="preserve"> the concept of a culturally monolithic or exclusively “Romanized” Gaul</w:t>
      </w:r>
      <w:r>
        <w:rPr>
          <w:rFonts w:ascii="Times New Roman" w:hAnsi="Times New Roman" w:cs="Times New Roman"/>
        </w:rPr>
        <w:t xml:space="preserve"> is ultimately untenable</w:t>
      </w:r>
      <w:r w:rsidRPr="00321E09">
        <w:rPr>
          <w:rFonts w:ascii="Times New Roman" w:hAnsi="Times New Roman" w:cs="Times New Roman"/>
        </w:rPr>
        <w:t xml:space="preserve">.  Acculturation was a multilateral and fluid process of interaction that varied throughout Roman Gaul by region, people </w:t>
      </w:r>
      <w:r>
        <w:rPr>
          <w:rFonts w:ascii="Times New Roman" w:hAnsi="Times New Roman" w:cs="Times New Roman"/>
        </w:rPr>
        <w:t xml:space="preserve">and exposure to urbanized life.  Indeed, as we argue, </w:t>
      </w:r>
      <w:r w:rsidRPr="00321E09">
        <w:rPr>
          <w:rFonts w:ascii="Times New Roman" w:hAnsi="Times New Roman" w:cs="Times New Roman"/>
        </w:rPr>
        <w:t>the term “Gallo-Roman culture” is, in itself, something of a misnomer. There truly is no such singular combined culture, but rather there existed numerous blends between Roman and Gallic customs and traditions.</w:t>
      </w:r>
    </w:p>
    <w:p w14:paraId="4B8E747D" w14:textId="77777777" w:rsidR="005B1499" w:rsidRDefault="005B1499" w:rsidP="00711AC8">
      <w:pPr>
        <w:rPr>
          <w:rFonts w:ascii="Times New Roman" w:hAnsi="Times New Roman" w:cs="Times New Roman"/>
        </w:rPr>
      </w:pPr>
    </w:p>
    <w:p w14:paraId="5238EA13" w14:textId="77777777" w:rsidR="00892570" w:rsidRDefault="00892570" w:rsidP="00711AC8">
      <w:pPr>
        <w:rPr>
          <w:rFonts w:ascii="Times New Roman" w:hAnsi="Times New Roman" w:cs="Times New Roman"/>
        </w:rPr>
      </w:pPr>
    </w:p>
    <w:p w14:paraId="2FA943BE" w14:textId="79B3C0B9" w:rsidR="005B1499" w:rsidRPr="00717B03" w:rsidRDefault="005B1499" w:rsidP="00711AC8">
      <w:pPr>
        <w:rPr>
          <w:rFonts w:ascii="Times New Roman" w:hAnsi="Times New Roman" w:cs="Times New Roman"/>
          <w:smallCaps/>
        </w:rPr>
      </w:pPr>
      <w:r w:rsidRPr="00717B03">
        <w:rPr>
          <w:rFonts w:ascii="Times New Roman" w:hAnsi="Times New Roman" w:cs="Times New Roman"/>
          <w:smallCaps/>
        </w:rPr>
        <w:t>David McCormick</w:t>
      </w:r>
    </w:p>
    <w:p w14:paraId="6C78A9E0" w14:textId="77777777" w:rsidR="00892570" w:rsidRDefault="00892570" w:rsidP="00711AC8">
      <w:pPr>
        <w:rPr>
          <w:rFonts w:ascii="Times New Roman" w:hAnsi="Times New Roman" w:cs="Times New Roman"/>
        </w:rPr>
      </w:pPr>
    </w:p>
    <w:p w14:paraId="6C19E172" w14:textId="1058544E" w:rsidR="00892570" w:rsidRPr="007603CC" w:rsidRDefault="007603CC" w:rsidP="007603CC">
      <w:pPr>
        <w:jc w:val="center"/>
        <w:rPr>
          <w:rFonts w:ascii="Times New Roman" w:hAnsi="Times New Roman" w:cs="Times New Roman"/>
          <w:szCs w:val="26"/>
        </w:rPr>
      </w:pPr>
      <w:r w:rsidRPr="007603CC">
        <w:rPr>
          <w:rFonts w:ascii="Times New Roman" w:hAnsi="Times New Roman" w:cs="Times New Roman"/>
          <w:szCs w:val="26"/>
        </w:rPr>
        <w:t>Frontiers &amp; Boundaries: a Moving Target in Defining Interaction in Southeast Mesoamerica</w:t>
      </w:r>
    </w:p>
    <w:p w14:paraId="37EAC1FC" w14:textId="77777777" w:rsidR="00892570" w:rsidRDefault="00892570" w:rsidP="00892570">
      <w:pPr>
        <w:rPr>
          <w:rFonts w:ascii="Times New Roman" w:hAnsi="Times New Roman" w:cs="Times New Roman"/>
        </w:rPr>
      </w:pPr>
    </w:p>
    <w:p w14:paraId="1C717B7D" w14:textId="77777777" w:rsidR="005A34BD" w:rsidRPr="005A34BD" w:rsidRDefault="00892570" w:rsidP="005A34BD">
      <w:pPr>
        <w:autoSpaceDE w:val="0"/>
        <w:autoSpaceDN w:val="0"/>
        <w:adjustRightInd w:val="0"/>
        <w:rPr>
          <w:rFonts w:ascii="Times New Roman" w:hAnsi="Times New Roman" w:cs="Times New Roman"/>
        </w:rPr>
      </w:pPr>
      <w:r>
        <w:rPr>
          <w:rFonts w:ascii="Times New Roman" w:hAnsi="Times New Roman" w:cs="Times New Roman"/>
        </w:rPr>
        <w:tab/>
      </w:r>
      <w:r w:rsidR="005A34BD" w:rsidRPr="005A34BD">
        <w:rPr>
          <w:rFonts w:ascii="Times New Roman" w:hAnsi="Times New Roman" w:cs="Times New Roman"/>
        </w:rPr>
        <w:t xml:space="preserve">I focus on a variety of data or </w:t>
      </w:r>
      <w:r w:rsidR="005A34BD" w:rsidRPr="005A34BD">
        <w:rPr>
          <w:rFonts w:ascii="Times New Roman" w:hAnsi="Times New Roman" w:cs="Times New Roman"/>
          <w:i/>
        </w:rPr>
        <w:t xml:space="preserve">traits, </w:t>
      </w:r>
      <w:r w:rsidR="005A34BD" w:rsidRPr="005A34BD">
        <w:rPr>
          <w:rFonts w:ascii="Times New Roman" w:hAnsi="Times New Roman" w:cs="Times New Roman"/>
        </w:rPr>
        <w:t xml:space="preserve">primarily ceramic, to provide a picture of Southeast Mesoamerica as a </w:t>
      </w:r>
      <w:r w:rsidR="005A34BD" w:rsidRPr="005A34BD">
        <w:rPr>
          <w:rFonts w:ascii="Times New Roman" w:hAnsi="Times New Roman" w:cs="Times New Roman"/>
          <w:i/>
        </w:rPr>
        <w:t>frontier</w:t>
      </w:r>
      <w:r w:rsidR="005A34BD" w:rsidRPr="005A34BD">
        <w:rPr>
          <w:rFonts w:ascii="Times New Roman" w:hAnsi="Times New Roman" w:cs="Times New Roman"/>
        </w:rPr>
        <w:t xml:space="preserve">, with no distinct </w:t>
      </w:r>
      <w:r w:rsidR="005A34BD" w:rsidRPr="005A34BD">
        <w:rPr>
          <w:rFonts w:ascii="Times New Roman" w:hAnsi="Times New Roman" w:cs="Times New Roman"/>
          <w:i/>
        </w:rPr>
        <w:t xml:space="preserve">border, </w:t>
      </w:r>
      <w:r w:rsidR="005A34BD" w:rsidRPr="005A34BD">
        <w:rPr>
          <w:rFonts w:ascii="Times New Roman" w:hAnsi="Times New Roman" w:cs="Times New Roman"/>
        </w:rPr>
        <w:t xml:space="preserve">from the Formative to the Late Classic Period. While there are certainly more vectors to explore (namely lithics, architecture, prestige goods, etc.) ceramics are perhaps the most extensively investigated. The formation of Southeast Mesoamerica is also best seen through the lens of the Usulután ceramics, as local traditions of architecture tend to remain more-or-less salient during the Formative and Early Classic. There is little evidence of large scale migrations and/or conquests as evidenced by sweeping changes in material culture in Southeast Mesoamerica, except of course at the “Classic Maya Centers” of Copán and Quirigúa. When these Maya sites are founded, they bring with them the trappings of Classic Maya Lowland society. However, even those sites in Copán immediate hinterland to not adopt these trappings wholesale. Copán and Quirigúa account for the vast majority of monumental inscriptions in Southeastern Mesoamerica. Ulua Polychromes with their imitation of Maya iconographic programs and glyphs show considerable contact with Maya peoples, although a concrete understanding of ‘Mayaness’ is absent. Similarly, Copador exhibits pseudo-glyphs and profile figures which are Maya-like but lack the legible glyphs and familiar programs of lowland Maya polychromes. The use of these pseudo-glyphs can thus be seen as a larger Southeast Mesoamerican characteristic. These pots were used despite knowledge and use of Maya writing was known in many polities of the Southeast (Copán, Quirigúa, Los Higos, and El Abra at the very least). Adoption of outside, </w:t>
      </w:r>
      <w:r w:rsidR="005A34BD" w:rsidRPr="005A34BD">
        <w:rPr>
          <w:rFonts w:ascii="Times New Roman" w:hAnsi="Times New Roman" w:cs="Times New Roman"/>
          <w:i/>
        </w:rPr>
        <w:t>novel</w:t>
      </w:r>
      <w:r w:rsidR="005A34BD" w:rsidRPr="005A34BD">
        <w:rPr>
          <w:rFonts w:ascii="Times New Roman" w:hAnsi="Times New Roman" w:cs="Times New Roman"/>
        </w:rPr>
        <w:t xml:space="preserve"> symbols and objects were a choice made by members, generally elites, of polities in Southeast Mesoamerica. </w:t>
      </w:r>
    </w:p>
    <w:p w14:paraId="489B2A19" w14:textId="77777777" w:rsidR="005A34BD" w:rsidRDefault="005A34BD" w:rsidP="005A34BD">
      <w:r w:rsidRPr="005A34BD">
        <w:rPr>
          <w:rFonts w:ascii="Times New Roman" w:hAnsi="Times New Roman" w:cs="Times New Roman"/>
        </w:rPr>
        <w:tab/>
        <w:t xml:space="preserve">Southeastern Mesoamerica is best thought as a </w:t>
      </w:r>
      <w:r w:rsidRPr="005A34BD">
        <w:rPr>
          <w:rFonts w:ascii="Times New Roman" w:hAnsi="Times New Roman" w:cs="Times New Roman"/>
          <w:i/>
        </w:rPr>
        <w:t xml:space="preserve">frontier </w:t>
      </w:r>
      <w:r w:rsidRPr="005A34BD">
        <w:rPr>
          <w:rFonts w:ascii="Times New Roman" w:hAnsi="Times New Roman" w:cs="Times New Roman"/>
        </w:rPr>
        <w:t xml:space="preserve">as more localized traditions seem to be conservative in the face of larger comings and goings of foreign influence. Usulután ceramics became widely spread, without disrupting utilitarian ceramic traditions, and for the most part did not bring with them the </w:t>
      </w:r>
      <w:r w:rsidRPr="005A34BD">
        <w:rPr>
          <w:rFonts w:ascii="Times New Roman" w:hAnsi="Times New Roman" w:cs="Times New Roman"/>
          <w:i/>
        </w:rPr>
        <w:t xml:space="preserve">practices </w:t>
      </w:r>
      <w:r w:rsidRPr="005A34BD">
        <w:rPr>
          <w:rFonts w:ascii="Times New Roman" w:hAnsi="Times New Roman" w:cs="Times New Roman"/>
        </w:rPr>
        <w:t xml:space="preserve">observed at western El Salvadoran or southeastern Guatemalan (macro-Maya) sites. When Classic Maya dynasts came to Southeastern Mesoamerica they continued many preexisting Southeastern Mesoamerican, such as the use of Usulután fine-ware serving vessels, river cobble construction, and perhaps the elite practice of turban headdresses (although turbans may have been a case of ‘ethnogenesis’). Local non-Maya elite also adopted some of the trappings of their Maya contemporaries at Copán and Quirigúa, such as dressed stone architecture, hieroglyphic writing, assuming Maya titles (i.e. </w:t>
      </w:r>
      <w:r w:rsidRPr="005A34BD">
        <w:rPr>
          <w:rFonts w:ascii="Times New Roman" w:hAnsi="Times New Roman" w:cs="Times New Roman"/>
          <w:i/>
        </w:rPr>
        <w:t>ahaw)</w:t>
      </w:r>
      <w:r w:rsidRPr="005A34BD">
        <w:rPr>
          <w:rFonts w:ascii="Times New Roman" w:hAnsi="Times New Roman" w:cs="Times New Roman"/>
        </w:rPr>
        <w:t xml:space="preserve">, and at some sites using almost exclusively obsidian (ixtepeque) blade-core technology as opposed to expedient flake technology. The shifting </w:t>
      </w:r>
      <w:r w:rsidRPr="005A34BD">
        <w:rPr>
          <w:rFonts w:ascii="Times New Roman" w:hAnsi="Times New Roman" w:cs="Times New Roman"/>
          <w:i/>
        </w:rPr>
        <w:t xml:space="preserve">frontier </w:t>
      </w:r>
      <w:r w:rsidRPr="005A34BD">
        <w:rPr>
          <w:rFonts w:ascii="Times New Roman" w:hAnsi="Times New Roman" w:cs="Times New Roman"/>
        </w:rPr>
        <w:t xml:space="preserve">of Southeastern Mesoamerica can be viewed as a place where interaction between Mesoamerica and the Intermediate Area culminated in a zone of interaction that created its own distinct cultural unit. At all times it exhibits </w:t>
      </w:r>
      <w:r w:rsidRPr="005A34BD">
        <w:rPr>
          <w:rFonts w:ascii="Times New Roman" w:hAnsi="Times New Roman" w:cs="Times New Roman"/>
          <w:i/>
        </w:rPr>
        <w:t xml:space="preserve">traits </w:t>
      </w:r>
      <w:r w:rsidRPr="005A34BD">
        <w:rPr>
          <w:rFonts w:ascii="Times New Roman" w:hAnsi="Times New Roman" w:cs="Times New Roman"/>
        </w:rPr>
        <w:t xml:space="preserve">and </w:t>
      </w:r>
      <w:r w:rsidRPr="005A34BD">
        <w:rPr>
          <w:rFonts w:ascii="Times New Roman" w:hAnsi="Times New Roman" w:cs="Times New Roman"/>
          <w:i/>
        </w:rPr>
        <w:t xml:space="preserve">practices </w:t>
      </w:r>
      <w:r w:rsidRPr="005A34BD">
        <w:rPr>
          <w:rFonts w:ascii="Times New Roman" w:hAnsi="Times New Roman" w:cs="Times New Roman"/>
        </w:rPr>
        <w:t>of both larger cultural units but even in the most Maya sites of Copán and Quirigúa a negotiation takes place wherein many local elements remain at the expense of larger Mesoamerican ones.</w:t>
      </w:r>
    </w:p>
    <w:p w14:paraId="78595FF9" w14:textId="226F21D4" w:rsidR="00892570" w:rsidRDefault="00892570" w:rsidP="00892570">
      <w:pPr>
        <w:rPr>
          <w:rFonts w:ascii="Times New Roman" w:hAnsi="Times New Roman" w:cs="Times New Roman"/>
        </w:rPr>
      </w:pPr>
    </w:p>
    <w:p w14:paraId="0B98A30C" w14:textId="77777777" w:rsidR="005B1499" w:rsidRDefault="005B1499" w:rsidP="00711AC8">
      <w:pPr>
        <w:rPr>
          <w:rFonts w:ascii="Times New Roman" w:hAnsi="Times New Roman" w:cs="Times New Roman"/>
        </w:rPr>
      </w:pPr>
    </w:p>
    <w:p w14:paraId="4D655A1C" w14:textId="77777777" w:rsidR="00892570" w:rsidRDefault="00892570" w:rsidP="00711AC8">
      <w:pPr>
        <w:rPr>
          <w:rFonts w:ascii="Times New Roman" w:hAnsi="Times New Roman" w:cs="Times New Roman"/>
        </w:rPr>
      </w:pPr>
    </w:p>
    <w:p w14:paraId="7FF57057" w14:textId="0B48185D" w:rsidR="005B1499" w:rsidRPr="00717B03" w:rsidRDefault="005B1499" w:rsidP="00711AC8">
      <w:pPr>
        <w:rPr>
          <w:rFonts w:ascii="Times New Roman" w:hAnsi="Times New Roman" w:cs="Times New Roman"/>
          <w:smallCaps/>
        </w:rPr>
      </w:pPr>
      <w:r w:rsidRPr="00717B03">
        <w:rPr>
          <w:rFonts w:ascii="Times New Roman" w:hAnsi="Times New Roman" w:cs="Times New Roman"/>
          <w:smallCaps/>
        </w:rPr>
        <w:t>Burton Westermeier</w:t>
      </w:r>
    </w:p>
    <w:p w14:paraId="443EB53F" w14:textId="77777777" w:rsidR="00892570" w:rsidRDefault="00892570" w:rsidP="00711AC8">
      <w:pPr>
        <w:rPr>
          <w:rFonts w:ascii="Times New Roman" w:hAnsi="Times New Roman" w:cs="Times New Roman"/>
        </w:rPr>
      </w:pPr>
    </w:p>
    <w:p w14:paraId="34BBF9E5" w14:textId="5982D491" w:rsidR="00892570" w:rsidRPr="00046FCB" w:rsidRDefault="00046FCB" w:rsidP="00046FCB">
      <w:pPr>
        <w:pStyle w:val="Header"/>
        <w:jc w:val="center"/>
        <w:rPr>
          <w:rFonts w:cstheme="majorBidi"/>
        </w:rPr>
      </w:pPr>
      <w:r>
        <w:rPr>
          <w:rFonts w:cstheme="majorBidi"/>
        </w:rPr>
        <w:t xml:space="preserve">The </w:t>
      </w:r>
      <w:r>
        <w:rPr>
          <w:rFonts w:cstheme="majorBidi"/>
          <w:i/>
          <w:iCs/>
        </w:rPr>
        <w:t>Pilgrim’s Guide</w:t>
      </w:r>
      <w:r>
        <w:rPr>
          <w:rFonts w:cstheme="majorBidi"/>
        </w:rPr>
        <w:t xml:space="preserve"> as Ethnography</w:t>
      </w:r>
    </w:p>
    <w:p w14:paraId="2A6E8F06" w14:textId="77777777" w:rsidR="00892570" w:rsidRDefault="00892570" w:rsidP="00892570">
      <w:pPr>
        <w:rPr>
          <w:rFonts w:ascii="Times New Roman" w:hAnsi="Times New Roman" w:cs="Times New Roman"/>
        </w:rPr>
      </w:pPr>
    </w:p>
    <w:p w14:paraId="2B6EF436" w14:textId="6F6A8DF7" w:rsidR="00892570" w:rsidRPr="00D677E3" w:rsidRDefault="00892570" w:rsidP="00892570">
      <w:pPr>
        <w:rPr>
          <w:rFonts w:ascii="Times New Roman" w:hAnsi="Times New Roman" w:cs="Times New Roman"/>
        </w:rPr>
      </w:pPr>
      <w:r>
        <w:rPr>
          <w:rFonts w:ascii="Times New Roman" w:hAnsi="Times New Roman" w:cs="Times New Roman"/>
        </w:rPr>
        <w:tab/>
      </w:r>
      <w:r w:rsidR="00D677E3" w:rsidRPr="00D677E3">
        <w:rPr>
          <w:rFonts w:ascii="Times New Roman" w:hAnsi="Times New Roman" w:cs="Times New Roman"/>
        </w:rPr>
        <w:t xml:space="preserve">The twelfth-century </w:t>
      </w:r>
      <w:r w:rsidR="00D677E3" w:rsidRPr="00D677E3">
        <w:rPr>
          <w:rFonts w:ascii="Times New Roman" w:hAnsi="Times New Roman" w:cs="Times New Roman"/>
          <w:i/>
          <w:iCs/>
        </w:rPr>
        <w:t>Pilgrim’s Guide</w:t>
      </w:r>
      <w:r w:rsidR="00D677E3" w:rsidRPr="00D677E3">
        <w:rPr>
          <w:rFonts w:ascii="Times New Roman" w:hAnsi="Times New Roman" w:cs="Times New Roman"/>
        </w:rPr>
        <w:t xml:space="preserve"> is a text which has long puzzled scholars of pilgrimage, who have interpreted the work in a wide variety of ways. </w:t>
      </w:r>
      <w:r w:rsidR="002B012D">
        <w:rPr>
          <w:rFonts w:ascii="Times New Roman" w:hAnsi="Times New Roman" w:cs="Times New Roman"/>
        </w:rPr>
        <w:t xml:space="preserve"> </w:t>
      </w:r>
      <w:r w:rsidR="00D677E3" w:rsidRPr="00D677E3">
        <w:rPr>
          <w:rFonts w:ascii="Times New Roman" w:hAnsi="Times New Roman" w:cs="Times New Roman"/>
        </w:rPr>
        <w:t xml:space="preserve">In this paper, I will advance a number of arguments in an attempt to suggest a better way of looking at this text. First, I argue for the importance of viewing the text as not a single text with a single genre, but rather as a mixture of several genres combined in service of promoting pilgrimage to Santiago de Compostela. Second, I argue that chapter 7 of the </w:t>
      </w:r>
      <w:r w:rsidR="00D677E3" w:rsidRPr="00D677E3">
        <w:rPr>
          <w:rFonts w:ascii="Times New Roman" w:hAnsi="Times New Roman" w:cs="Times New Roman"/>
          <w:i/>
          <w:iCs/>
        </w:rPr>
        <w:t>Pilgrim’s Guide</w:t>
      </w:r>
      <w:r w:rsidR="00D677E3" w:rsidRPr="00D677E3">
        <w:rPr>
          <w:rFonts w:ascii="Times New Roman" w:hAnsi="Times New Roman" w:cs="Times New Roman"/>
        </w:rPr>
        <w:t xml:space="preserve"> are best understood as ethnography, as demonstrated by both their content and comparison with other ethnographical works from the twelfth century. Finally, I argue that these chapters were included in the </w:t>
      </w:r>
      <w:r w:rsidR="00D677E3" w:rsidRPr="00D677E3">
        <w:rPr>
          <w:rFonts w:ascii="Times New Roman" w:hAnsi="Times New Roman" w:cs="Times New Roman"/>
          <w:i/>
          <w:iCs/>
        </w:rPr>
        <w:t>Pilgrim’s Guide</w:t>
      </w:r>
      <w:r w:rsidR="00D677E3" w:rsidRPr="00D677E3">
        <w:rPr>
          <w:rFonts w:ascii="Times New Roman" w:hAnsi="Times New Roman" w:cs="Times New Roman"/>
        </w:rPr>
        <w:t xml:space="preserve"> due to the influence of an ongoing collaboration between Spanish royal and ecclesiastical elites, French monastics, and the papacy to settle Basque-speaking areas with French people as a strategy for consolidating royal control and acquiring resources and manpower for the </w:t>
      </w:r>
      <w:r w:rsidR="00D677E3" w:rsidRPr="00D677E3">
        <w:rPr>
          <w:rFonts w:ascii="Times New Roman" w:hAnsi="Times New Roman" w:cs="Times New Roman"/>
          <w:i/>
          <w:iCs/>
        </w:rPr>
        <w:t>Reconquista</w:t>
      </w:r>
      <w:r w:rsidR="00D677E3" w:rsidRPr="00D677E3">
        <w:rPr>
          <w:rFonts w:ascii="Times New Roman" w:hAnsi="Times New Roman" w:cs="Times New Roman"/>
        </w:rPr>
        <w:t>.</w:t>
      </w:r>
    </w:p>
    <w:p w14:paraId="1D8CE7E9" w14:textId="77777777" w:rsidR="00815816" w:rsidRDefault="00815816" w:rsidP="00711AC8">
      <w:pPr>
        <w:rPr>
          <w:rFonts w:ascii="Times New Roman" w:hAnsi="Times New Roman" w:cs="Times New Roman"/>
        </w:rPr>
      </w:pPr>
    </w:p>
    <w:p w14:paraId="099BBEA6" w14:textId="77777777" w:rsidR="00711AC8" w:rsidRDefault="00711AC8" w:rsidP="00711AC8">
      <w:pPr>
        <w:rPr>
          <w:rFonts w:ascii="Times New Roman" w:hAnsi="Times New Roman" w:cs="Times New Roman"/>
        </w:rPr>
      </w:pPr>
    </w:p>
    <w:p w14:paraId="4F7CDE68" w14:textId="77777777" w:rsidR="00711AC8" w:rsidRDefault="00711AC8" w:rsidP="00711AC8">
      <w:pPr>
        <w:spacing w:line="480" w:lineRule="auto"/>
      </w:pPr>
    </w:p>
    <w:p w14:paraId="046D29EE" w14:textId="77777777" w:rsidR="00711AC8" w:rsidRDefault="00711AC8" w:rsidP="00711AC8">
      <w:pPr>
        <w:spacing w:line="480" w:lineRule="auto"/>
      </w:pPr>
    </w:p>
    <w:p w14:paraId="6AEE4362" w14:textId="77777777" w:rsidR="00711AC8" w:rsidRDefault="00711AC8" w:rsidP="00711AC8">
      <w:pPr>
        <w:spacing w:line="480" w:lineRule="auto"/>
      </w:pPr>
    </w:p>
    <w:p w14:paraId="769DBEA1" w14:textId="6C0DB556" w:rsidR="00711AC8" w:rsidRPr="00940455" w:rsidRDefault="00711AC8" w:rsidP="00711AC8">
      <w:pPr>
        <w:spacing w:line="480" w:lineRule="auto"/>
      </w:pPr>
      <w:r>
        <w:rPr>
          <w:rFonts w:ascii="Brill Roman" w:hAnsi="Brill Roman"/>
        </w:rPr>
        <w:t xml:space="preserve"> </w:t>
      </w:r>
    </w:p>
    <w:sectPr w:rsidR="00711AC8" w:rsidRPr="00940455" w:rsidSect="00B85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FEED" w14:textId="77777777" w:rsidR="00E71113" w:rsidRDefault="00E71113" w:rsidP="00D677E3">
      <w:r>
        <w:separator/>
      </w:r>
    </w:p>
  </w:endnote>
  <w:endnote w:type="continuationSeparator" w:id="0">
    <w:p w14:paraId="7AD3625F" w14:textId="77777777" w:rsidR="00E71113" w:rsidRDefault="00E71113" w:rsidP="00D6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ill Roman">
    <w:altName w:val="Constantia"/>
    <w:charset w:val="00"/>
    <w:family w:val="auto"/>
    <w:pitch w:val="variable"/>
    <w:sig w:usb0="E00002FF" w:usb1="4200E4FB" w:usb2="02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4C06F" w14:textId="77777777" w:rsidR="00E71113" w:rsidRDefault="00E71113" w:rsidP="00D677E3">
      <w:r>
        <w:separator/>
      </w:r>
    </w:p>
  </w:footnote>
  <w:footnote w:type="continuationSeparator" w:id="0">
    <w:p w14:paraId="668AFA93" w14:textId="77777777" w:rsidR="00E71113" w:rsidRDefault="00E71113" w:rsidP="00D67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C8"/>
    <w:rsid w:val="00036761"/>
    <w:rsid w:val="00037172"/>
    <w:rsid w:val="00037DD0"/>
    <w:rsid w:val="00046FCB"/>
    <w:rsid w:val="00051C12"/>
    <w:rsid w:val="0006710C"/>
    <w:rsid w:val="000936E1"/>
    <w:rsid w:val="000E7CF7"/>
    <w:rsid w:val="000F0705"/>
    <w:rsid w:val="001254D3"/>
    <w:rsid w:val="00125576"/>
    <w:rsid w:val="00145EE4"/>
    <w:rsid w:val="001B6934"/>
    <w:rsid w:val="001F1616"/>
    <w:rsid w:val="00255160"/>
    <w:rsid w:val="00284797"/>
    <w:rsid w:val="002B012D"/>
    <w:rsid w:val="0037714B"/>
    <w:rsid w:val="003924BD"/>
    <w:rsid w:val="00597659"/>
    <w:rsid w:val="005A34BD"/>
    <w:rsid w:val="005B1499"/>
    <w:rsid w:val="00620721"/>
    <w:rsid w:val="00691765"/>
    <w:rsid w:val="00711AC8"/>
    <w:rsid w:val="00715618"/>
    <w:rsid w:val="00717B03"/>
    <w:rsid w:val="007603CC"/>
    <w:rsid w:val="007A7576"/>
    <w:rsid w:val="00815816"/>
    <w:rsid w:val="00892570"/>
    <w:rsid w:val="008A2BE6"/>
    <w:rsid w:val="008A3C3B"/>
    <w:rsid w:val="008F2FF9"/>
    <w:rsid w:val="009C049F"/>
    <w:rsid w:val="00A17A70"/>
    <w:rsid w:val="00A718DD"/>
    <w:rsid w:val="00A944A3"/>
    <w:rsid w:val="00B02895"/>
    <w:rsid w:val="00B1493D"/>
    <w:rsid w:val="00B45711"/>
    <w:rsid w:val="00B50A1B"/>
    <w:rsid w:val="00B85D96"/>
    <w:rsid w:val="00B900D3"/>
    <w:rsid w:val="00C2060D"/>
    <w:rsid w:val="00C641A9"/>
    <w:rsid w:val="00C77521"/>
    <w:rsid w:val="00C90964"/>
    <w:rsid w:val="00CF3831"/>
    <w:rsid w:val="00D21FDE"/>
    <w:rsid w:val="00D57E33"/>
    <w:rsid w:val="00D677E3"/>
    <w:rsid w:val="00D77201"/>
    <w:rsid w:val="00DE482D"/>
    <w:rsid w:val="00E12F99"/>
    <w:rsid w:val="00E71113"/>
    <w:rsid w:val="00F8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E15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A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C8"/>
    <w:rPr>
      <w:rFonts w:ascii="Times New Roman" w:eastAsiaTheme="minorEastAsia" w:hAnsi="Times New Roman" w:cs="Times New Roman"/>
      <w:color w:val="000000"/>
      <w:lang w:eastAsia="ja-JP"/>
    </w:rPr>
  </w:style>
  <w:style w:type="paragraph" w:styleId="Header">
    <w:name w:val="header"/>
    <w:basedOn w:val="Normal"/>
    <w:link w:val="HeaderChar"/>
    <w:uiPriority w:val="99"/>
    <w:unhideWhenUsed/>
    <w:rsid w:val="00046FCB"/>
    <w:pPr>
      <w:tabs>
        <w:tab w:val="center" w:pos="4680"/>
        <w:tab w:val="right" w:pos="9360"/>
      </w:tabs>
    </w:pPr>
    <w:rPr>
      <w:rFonts w:asciiTheme="majorBidi" w:eastAsiaTheme="minorHAnsi" w:hAnsiTheme="majorBidi" w:cs="Times New Roman"/>
    </w:rPr>
  </w:style>
  <w:style w:type="character" w:customStyle="1" w:styleId="HeaderChar">
    <w:name w:val="Header Char"/>
    <w:basedOn w:val="DefaultParagraphFont"/>
    <w:link w:val="Header"/>
    <w:uiPriority w:val="99"/>
    <w:rsid w:val="00046FCB"/>
    <w:rPr>
      <w:rFonts w:asciiTheme="majorBidi" w:hAnsiTheme="majorBidi" w:cs="Times New Roman"/>
    </w:rPr>
  </w:style>
  <w:style w:type="paragraph" w:styleId="FootnoteText">
    <w:name w:val="footnote text"/>
    <w:basedOn w:val="Normal"/>
    <w:link w:val="FootnoteTextChar"/>
    <w:uiPriority w:val="99"/>
    <w:unhideWhenUsed/>
    <w:rsid w:val="00D677E3"/>
    <w:rPr>
      <w:rFonts w:asciiTheme="majorBidi" w:eastAsiaTheme="minorHAnsi" w:hAnsiTheme="majorBidi" w:cs="Times New Roman"/>
      <w:sz w:val="20"/>
      <w:szCs w:val="20"/>
    </w:rPr>
  </w:style>
  <w:style w:type="character" w:customStyle="1" w:styleId="FootnoteTextChar">
    <w:name w:val="Footnote Text Char"/>
    <w:basedOn w:val="DefaultParagraphFont"/>
    <w:link w:val="FootnoteText"/>
    <w:uiPriority w:val="99"/>
    <w:rsid w:val="00D677E3"/>
    <w:rPr>
      <w:rFonts w:asciiTheme="majorBidi" w:hAnsiTheme="majorBidi" w:cs="Times New Roman"/>
      <w:sz w:val="20"/>
      <w:szCs w:val="20"/>
    </w:rPr>
  </w:style>
  <w:style w:type="character" w:styleId="FootnoteReference">
    <w:name w:val="footnote reference"/>
    <w:basedOn w:val="DefaultParagraphFont"/>
    <w:uiPriority w:val="99"/>
    <w:semiHidden/>
    <w:unhideWhenUsed/>
    <w:rsid w:val="00D677E3"/>
    <w:rPr>
      <w:vertAlign w:val="superscript"/>
    </w:rPr>
  </w:style>
  <w:style w:type="paragraph" w:styleId="NormalWeb">
    <w:name w:val="Normal (Web)"/>
    <w:basedOn w:val="Normal"/>
    <w:uiPriority w:val="99"/>
    <w:semiHidden/>
    <w:unhideWhenUsed/>
    <w:rsid w:val="00145EE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50A1B"/>
    <w:rPr>
      <w:sz w:val="18"/>
      <w:szCs w:val="18"/>
    </w:rPr>
  </w:style>
  <w:style w:type="paragraph" w:styleId="CommentText">
    <w:name w:val="annotation text"/>
    <w:basedOn w:val="Normal"/>
    <w:link w:val="CommentTextChar"/>
    <w:uiPriority w:val="99"/>
    <w:semiHidden/>
    <w:unhideWhenUsed/>
    <w:rsid w:val="00B50A1B"/>
  </w:style>
  <w:style w:type="character" w:customStyle="1" w:styleId="CommentTextChar">
    <w:name w:val="Comment Text Char"/>
    <w:basedOn w:val="DefaultParagraphFont"/>
    <w:link w:val="CommentText"/>
    <w:uiPriority w:val="99"/>
    <w:semiHidden/>
    <w:rsid w:val="00B50A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3344</Words>
  <Characters>17157</Characters>
  <Application>Microsoft Macintosh Word</Application>
  <DocSecurity>0</DocSecurity>
  <Lines>272</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2016-10-03T13:27:00Z</dcterms:created>
  <dcterms:modified xsi:type="dcterms:W3CDTF">2016-10-03T23:48:00Z</dcterms:modified>
</cp:coreProperties>
</file>